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A98" w:rsidRDefault="00FB4A98" w:rsidP="00FB4A98">
      <w:pPr>
        <w:suppressLineNumbers/>
        <w:rPr>
          <w:sz w:val="26"/>
          <w:szCs w:val="26"/>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B4A98" w:rsidRPr="00CD0055" w:rsidTr="00BA2541">
        <w:trPr>
          <w:jc w:val="center"/>
        </w:trPr>
        <w:tc>
          <w:tcPr>
            <w:tcW w:w="743" w:type="dxa"/>
            <w:hideMark/>
          </w:tcPr>
          <w:p w:rsidR="00FB4A98" w:rsidRPr="00CD0055" w:rsidRDefault="00FB4A98" w:rsidP="00BA2541">
            <w:pPr>
              <w:jc w:val="both"/>
              <w:rPr>
                <w:rFonts w:ascii="Arial (W1)" w:hAnsi="Arial (W1)"/>
                <w:b/>
                <w:bCs/>
                <w:sz w:val="26"/>
                <w:szCs w:val="26"/>
              </w:rPr>
            </w:pPr>
            <w:r>
              <w:rPr>
                <w:rFonts w:hint="cs"/>
                <w:b/>
                <w:bCs/>
                <w:sz w:val="26"/>
                <w:szCs w:val="26"/>
                <w:rtl/>
              </w:rPr>
              <w:t>ל</w:t>
            </w:r>
            <w:r w:rsidRPr="00CD0055">
              <w:rPr>
                <w:rFonts w:hint="cs"/>
                <w:b/>
                <w:bCs/>
                <w:sz w:val="26"/>
                <w:szCs w:val="26"/>
                <w:rtl/>
              </w:rPr>
              <w:t xml:space="preserve">פני </w:t>
            </w:r>
          </w:p>
        </w:tc>
        <w:tc>
          <w:tcPr>
            <w:tcW w:w="8077" w:type="dxa"/>
            <w:gridSpan w:val="2"/>
            <w:hideMark/>
          </w:tcPr>
          <w:p w:rsidR="00FB4A98" w:rsidRPr="00CD0055" w:rsidRDefault="00FB4A98" w:rsidP="00BA2541">
            <w:pPr>
              <w:rPr>
                <w:rFonts w:ascii="Arial" w:hAnsi="Arial"/>
                <w:b/>
                <w:bCs/>
                <w:sz w:val="26"/>
                <w:szCs w:val="26"/>
                <w:rtl/>
              </w:rPr>
            </w:pPr>
            <w:r w:rsidRPr="00CD0055">
              <w:rPr>
                <w:rFonts w:ascii="Arial" w:hAnsi="Arial" w:hint="cs"/>
                <w:b/>
                <w:bCs/>
                <w:sz w:val="26"/>
                <w:szCs w:val="26"/>
                <w:rtl/>
              </w:rPr>
              <w:t>כבוד ה</w:t>
            </w:r>
            <w:sdt>
              <w:sdtPr>
                <w:rPr>
                  <w:sz w:val="26"/>
                  <w:szCs w:val="26"/>
                  <w:rtl/>
                </w:rPr>
                <w:alias w:val="1574"/>
                <w:tag w:val="1574"/>
                <w:id w:val="-868990752"/>
                <w:text w:multiLine="1"/>
              </w:sdtPr>
              <w:sdtEndPr/>
              <w:sdtContent>
                <w:r>
                  <w:rPr>
                    <w:rFonts w:ascii="Arial" w:hAnsi="Arial"/>
                    <w:b/>
                    <w:bCs/>
                    <w:sz w:val="26"/>
                    <w:szCs w:val="26"/>
                    <w:rtl/>
                  </w:rPr>
                  <w:t>שופט</w:t>
                </w:r>
              </w:sdtContent>
            </w:sdt>
            <w:r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יונה אטדגי</w:t>
                </w:r>
              </w:sdtContent>
            </w:sdt>
          </w:p>
          <w:p w:rsidR="00FB4A98" w:rsidRPr="00CD0055" w:rsidRDefault="00FB4A98" w:rsidP="00BA2541">
            <w:pPr>
              <w:rPr>
                <w:sz w:val="26"/>
                <w:szCs w:val="26"/>
              </w:rPr>
            </w:pPr>
          </w:p>
        </w:tc>
      </w:tr>
      <w:tr w:rsidR="00FB4A98" w:rsidRPr="00CD0055" w:rsidTr="00BA2541">
        <w:trPr>
          <w:jc w:val="center"/>
        </w:trPr>
        <w:tc>
          <w:tcPr>
            <w:tcW w:w="3249" w:type="dxa"/>
            <w:gridSpan w:val="2"/>
          </w:tcPr>
          <w:p w:rsidR="00FB4A98" w:rsidRPr="00CD0055" w:rsidRDefault="00FB4A98" w:rsidP="00BA2541">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FB4A98" w:rsidRDefault="00FB4A98" w:rsidP="00BA2541">
                <w:pPr>
                  <w:rPr>
                    <w:rFonts w:ascii="Arial (W1)" w:hAnsi="Arial (W1)"/>
                    <w:b/>
                    <w:bCs/>
                    <w:noProof w:val="0"/>
                    <w:sz w:val="26"/>
                    <w:szCs w:val="26"/>
                  </w:rPr>
                </w:pPr>
                <w:r>
                  <w:rPr>
                    <w:rFonts w:hint="cs"/>
                    <w:b/>
                    <w:bCs/>
                    <w:noProof w:val="0"/>
                    <w:sz w:val="26"/>
                    <w:szCs w:val="26"/>
                    <w:rtl/>
                  </w:rPr>
                  <w:t>התובעים:</w:t>
                </w:r>
              </w:p>
            </w:sdtContent>
          </w:sdt>
        </w:tc>
        <w:tc>
          <w:tcPr>
            <w:tcW w:w="5571" w:type="dxa"/>
          </w:tcPr>
          <w:p w:rsidR="00FB4A98" w:rsidRPr="00CD0055" w:rsidRDefault="00FB4A98" w:rsidP="00BA2541">
            <w:pPr>
              <w:rPr>
                <w:rFonts w:ascii="Arial (W1)" w:hAnsi="Arial (W1)"/>
                <w:b/>
                <w:bCs/>
                <w:noProof w:val="0"/>
                <w:sz w:val="26"/>
                <w:szCs w:val="26"/>
                <w:rtl/>
              </w:rPr>
            </w:pPr>
          </w:p>
          <w:p w:rsidR="00FB4A98" w:rsidRPr="00433199" w:rsidRDefault="00BF305E" w:rsidP="00BA2541">
            <w:pPr>
              <w:rPr>
                <w:sz w:val="26"/>
                <w:szCs w:val="26"/>
              </w:rPr>
            </w:pPr>
            <w:sdt>
              <w:sdtPr>
                <w:rPr>
                  <w:rFonts w:hint="cs"/>
                  <w:sz w:val="26"/>
                  <w:szCs w:val="26"/>
                  <w:rtl/>
                </w:rPr>
                <w:alias w:val="1462"/>
                <w:tag w:val="1462"/>
                <w:id w:val="-1143353124"/>
                <w:text w:multiLine="1"/>
              </w:sdtPr>
              <w:sdtEndPr/>
              <w:sdtContent>
                <w:r w:rsidR="00FB4A98">
                  <w:rPr>
                    <w:rFonts w:hint="cs"/>
                    <w:b/>
                    <w:bCs/>
                    <w:noProof w:val="0"/>
                    <w:sz w:val="26"/>
                    <w:szCs w:val="26"/>
                    <w:rtl/>
                  </w:rPr>
                  <w:t>1</w:t>
                </w:r>
              </w:sdtContent>
            </w:sdt>
            <w:r w:rsidR="00FB4A98" w:rsidRPr="00CD0055">
              <w:rPr>
                <w:rFonts w:hint="cs"/>
                <w:b/>
                <w:bCs/>
                <w:noProof w:val="0"/>
                <w:sz w:val="26"/>
                <w:szCs w:val="26"/>
                <w:rtl/>
              </w:rPr>
              <w:t>.</w:t>
            </w:r>
            <w:sdt>
              <w:sdtPr>
                <w:rPr>
                  <w:rFonts w:hint="cs"/>
                  <w:sz w:val="26"/>
                  <w:szCs w:val="26"/>
                  <w:rtl/>
                </w:rPr>
                <w:alias w:val="1478"/>
                <w:tag w:val="1478"/>
                <w:id w:val="160126198"/>
                <w:text w:multiLine="1"/>
              </w:sdtPr>
              <w:sdtEndPr/>
              <w:sdtContent>
                <w:r w:rsidR="00FB4A98">
                  <w:rPr>
                    <w:rFonts w:hint="cs"/>
                    <w:b/>
                    <w:bCs/>
                    <w:noProof w:val="0"/>
                    <w:sz w:val="26"/>
                    <w:szCs w:val="26"/>
                    <w:rtl/>
                  </w:rPr>
                  <w:t xml:space="preserve">פלונית </w:t>
                </w:r>
              </w:sdtContent>
            </w:sdt>
          </w:p>
          <w:p w:rsidR="00FB4A98" w:rsidRDefault="00BF305E" w:rsidP="00BA2541">
            <w:pPr>
              <w:rPr>
                <w:sz w:val="26"/>
                <w:szCs w:val="26"/>
                <w:rtl/>
              </w:rPr>
            </w:pPr>
            <w:sdt>
              <w:sdtPr>
                <w:rPr>
                  <w:rFonts w:hint="cs"/>
                  <w:sz w:val="26"/>
                  <w:szCs w:val="26"/>
                  <w:rtl/>
                </w:rPr>
                <w:alias w:val="1462"/>
                <w:tag w:val="1462"/>
                <w:id w:val="462625580"/>
                <w:text w:multiLine="1"/>
              </w:sdtPr>
              <w:sdtEndPr/>
              <w:sdtContent>
                <w:r w:rsidR="00FB4A98">
                  <w:rPr>
                    <w:rFonts w:hint="cs"/>
                    <w:b/>
                    <w:bCs/>
                    <w:noProof w:val="0"/>
                    <w:sz w:val="26"/>
                    <w:szCs w:val="26"/>
                    <w:rtl/>
                  </w:rPr>
                  <w:t>2</w:t>
                </w:r>
              </w:sdtContent>
            </w:sdt>
            <w:r w:rsidR="00FB4A98" w:rsidRPr="00CD0055">
              <w:rPr>
                <w:rFonts w:hint="cs"/>
                <w:b/>
                <w:bCs/>
                <w:noProof w:val="0"/>
                <w:sz w:val="26"/>
                <w:szCs w:val="26"/>
                <w:rtl/>
              </w:rPr>
              <w:t>.</w:t>
            </w:r>
            <w:sdt>
              <w:sdtPr>
                <w:rPr>
                  <w:rFonts w:hint="cs"/>
                  <w:sz w:val="26"/>
                  <w:szCs w:val="26"/>
                  <w:rtl/>
                </w:rPr>
                <w:alias w:val="1478"/>
                <w:tag w:val="1478"/>
                <w:id w:val="465708742"/>
                <w:text w:multiLine="1"/>
              </w:sdtPr>
              <w:sdtEndPr/>
              <w:sdtContent>
                <w:r w:rsidR="00FB4A98">
                  <w:rPr>
                    <w:rFonts w:hint="cs"/>
                    <w:b/>
                    <w:bCs/>
                    <w:noProof w:val="0"/>
                    <w:sz w:val="26"/>
                    <w:szCs w:val="26"/>
                    <w:rtl/>
                  </w:rPr>
                  <w:t>פלוני</w:t>
                </w:r>
              </w:sdtContent>
            </w:sdt>
          </w:p>
          <w:p w:rsidR="00FB4A98" w:rsidRPr="00433199" w:rsidRDefault="00FB4A98" w:rsidP="00BA2541">
            <w:pPr>
              <w:rPr>
                <w:rFonts w:ascii="Arial (W1)" w:hAnsi="Arial (W1)"/>
                <w:noProof w:val="0"/>
                <w:sz w:val="26"/>
                <w:szCs w:val="26"/>
              </w:rPr>
            </w:pPr>
            <w:r w:rsidRPr="00433199">
              <w:rPr>
                <w:rFonts w:hint="cs"/>
                <w:sz w:val="26"/>
                <w:szCs w:val="26"/>
                <w:rtl/>
              </w:rPr>
              <w:t>ע"י ב"כ עו"ד</w:t>
            </w:r>
            <w:r w:rsidRPr="00433199">
              <w:rPr>
                <w:rFonts w:ascii="Arial (W1)" w:hAnsi="Arial (W1)" w:hint="cs"/>
                <w:noProof w:val="0"/>
                <w:sz w:val="26"/>
                <w:szCs w:val="26"/>
                <w:rtl/>
              </w:rPr>
              <w:t xml:space="preserve"> רונן שחר </w:t>
            </w:r>
          </w:p>
        </w:tc>
      </w:tr>
      <w:tr w:rsidR="00FB4A98" w:rsidRPr="00CD0055" w:rsidTr="00BA2541">
        <w:trPr>
          <w:jc w:val="center"/>
        </w:trPr>
        <w:tc>
          <w:tcPr>
            <w:tcW w:w="8820" w:type="dxa"/>
            <w:gridSpan w:val="3"/>
          </w:tcPr>
          <w:p w:rsidR="00FB4A98" w:rsidRPr="00CD0055" w:rsidRDefault="00FB4A98" w:rsidP="00BA2541">
            <w:pPr>
              <w:rPr>
                <w:rFonts w:ascii="Arial (W1)" w:hAnsi="Arial (W1)"/>
                <w:b/>
                <w:bCs/>
                <w:noProof w:val="0"/>
                <w:sz w:val="26"/>
                <w:szCs w:val="26"/>
                <w:rtl/>
              </w:rPr>
            </w:pPr>
          </w:p>
          <w:p w:rsidR="00FB4A98" w:rsidRPr="00CD0055" w:rsidRDefault="00FB4A98" w:rsidP="00BA2541">
            <w:pPr>
              <w:rPr>
                <w:b/>
                <w:bCs/>
                <w:noProof w:val="0"/>
                <w:sz w:val="26"/>
                <w:szCs w:val="26"/>
                <w:rtl/>
              </w:rPr>
            </w:pPr>
            <w:r>
              <w:rPr>
                <w:rFonts w:hint="cs"/>
                <w:b/>
                <w:bCs/>
                <w:noProof w:val="0"/>
                <w:sz w:val="26"/>
                <w:szCs w:val="26"/>
                <w:rtl/>
              </w:rPr>
              <w:t xml:space="preserve">                                                            </w:t>
            </w:r>
            <w:r w:rsidRPr="00CD0055">
              <w:rPr>
                <w:rFonts w:hint="cs"/>
                <w:b/>
                <w:bCs/>
                <w:noProof w:val="0"/>
                <w:sz w:val="26"/>
                <w:szCs w:val="26"/>
                <w:rtl/>
              </w:rPr>
              <w:t>נגד</w:t>
            </w:r>
          </w:p>
          <w:p w:rsidR="00FB4A98" w:rsidRPr="00CD0055" w:rsidRDefault="00FB4A98" w:rsidP="00BA2541">
            <w:pPr>
              <w:rPr>
                <w:rFonts w:ascii="Arial (W1)" w:hAnsi="Arial (W1)"/>
                <w:b/>
                <w:bCs/>
                <w:noProof w:val="0"/>
                <w:sz w:val="26"/>
                <w:szCs w:val="26"/>
              </w:rPr>
            </w:pPr>
          </w:p>
        </w:tc>
      </w:tr>
      <w:tr w:rsidR="00FB4A98" w:rsidRPr="00CD0055" w:rsidTr="00BA2541">
        <w:trPr>
          <w:jc w:val="center"/>
        </w:trPr>
        <w:tc>
          <w:tcPr>
            <w:tcW w:w="3249" w:type="dxa"/>
            <w:gridSpan w:val="2"/>
          </w:tcPr>
          <w:p w:rsidR="00FB4A98" w:rsidRPr="00CD0055" w:rsidRDefault="00FB4A98" w:rsidP="00BA2541">
            <w:pPr>
              <w:rPr>
                <w:rFonts w:ascii="Arial (W1)" w:hAnsi="Arial (W1)"/>
                <w:b/>
                <w:bCs/>
                <w:noProof w:val="0"/>
                <w:sz w:val="26"/>
                <w:szCs w:val="26"/>
                <w:rtl/>
              </w:rPr>
            </w:pPr>
          </w:p>
          <w:p w:rsidR="00FB4A98" w:rsidRPr="00CD0055" w:rsidRDefault="00BF305E" w:rsidP="00BA2541">
            <w:pPr>
              <w:rPr>
                <w:rFonts w:ascii="Arial (W1)" w:hAnsi="Arial (W1)"/>
                <w:b/>
                <w:bCs/>
                <w:noProof w:val="0"/>
                <w:sz w:val="26"/>
                <w:szCs w:val="26"/>
              </w:rPr>
            </w:pPr>
            <w:sdt>
              <w:sdtPr>
                <w:rPr>
                  <w:rFonts w:hint="cs"/>
                  <w:sz w:val="26"/>
                  <w:szCs w:val="26"/>
                  <w:rtl/>
                </w:rPr>
                <w:alias w:val="1184"/>
                <w:tag w:val="1184"/>
                <w:id w:val="-910234160"/>
                <w:text w:multiLine="1"/>
              </w:sdtPr>
              <w:sdtEndPr/>
              <w:sdtContent>
                <w:r w:rsidR="00FB4A98">
                  <w:rPr>
                    <w:rFonts w:hint="cs"/>
                    <w:b/>
                    <w:bCs/>
                    <w:noProof w:val="0"/>
                    <w:sz w:val="26"/>
                    <w:szCs w:val="26"/>
                    <w:rtl/>
                  </w:rPr>
                  <w:t>הנתבעים:</w:t>
                </w:r>
              </w:sdtContent>
            </w:sdt>
          </w:p>
        </w:tc>
        <w:tc>
          <w:tcPr>
            <w:tcW w:w="5571" w:type="dxa"/>
          </w:tcPr>
          <w:p w:rsidR="00FB4A98" w:rsidRPr="00CD0055" w:rsidRDefault="00FB4A98" w:rsidP="00BA2541">
            <w:pPr>
              <w:rPr>
                <w:rFonts w:ascii="Arial (W1)" w:hAnsi="Arial (W1)"/>
                <w:b/>
                <w:bCs/>
                <w:noProof w:val="0"/>
                <w:sz w:val="26"/>
                <w:szCs w:val="26"/>
                <w:rtl/>
              </w:rPr>
            </w:pPr>
          </w:p>
          <w:p w:rsidR="00FB4A98" w:rsidRDefault="00BF305E" w:rsidP="00BA2541">
            <w:pPr>
              <w:rPr>
                <w:sz w:val="26"/>
                <w:szCs w:val="26"/>
                <w:rtl/>
              </w:rPr>
            </w:pPr>
            <w:sdt>
              <w:sdtPr>
                <w:rPr>
                  <w:rFonts w:hint="cs"/>
                  <w:sz w:val="26"/>
                  <w:szCs w:val="26"/>
                  <w:rtl/>
                </w:rPr>
                <w:alias w:val="1486"/>
                <w:tag w:val="1486"/>
                <w:id w:val="1487590763"/>
                <w:text w:multiLine="1"/>
              </w:sdtPr>
              <w:sdtEndPr/>
              <w:sdtContent>
                <w:r w:rsidR="00FB4A98">
                  <w:rPr>
                    <w:rFonts w:hint="cs"/>
                    <w:b/>
                    <w:bCs/>
                    <w:noProof w:val="0"/>
                    <w:sz w:val="26"/>
                    <w:szCs w:val="26"/>
                    <w:rtl/>
                  </w:rPr>
                  <w:t>הבנק הבינלאומי הראשון לישראל בע"מ</w:t>
                </w:r>
              </w:sdtContent>
            </w:sdt>
          </w:p>
          <w:p w:rsidR="00FB4A98" w:rsidRPr="00CD0055" w:rsidRDefault="00FB4A98" w:rsidP="00BA2541">
            <w:pPr>
              <w:rPr>
                <w:rFonts w:ascii="Arial (W1)" w:hAnsi="Arial (W1)"/>
                <w:b/>
                <w:bCs/>
                <w:noProof w:val="0"/>
                <w:sz w:val="26"/>
                <w:szCs w:val="26"/>
              </w:rPr>
            </w:pPr>
            <w:r>
              <w:rPr>
                <w:rFonts w:hint="cs"/>
                <w:sz w:val="26"/>
                <w:szCs w:val="26"/>
                <w:rtl/>
              </w:rPr>
              <w:t>ע"י ב"כ עו"ד</w:t>
            </w:r>
            <w:r>
              <w:rPr>
                <w:rFonts w:ascii="Arial (W1)" w:hAnsi="Arial (W1)" w:hint="cs"/>
                <w:b/>
                <w:bCs/>
                <w:noProof w:val="0"/>
                <w:sz w:val="26"/>
                <w:szCs w:val="26"/>
                <w:rtl/>
              </w:rPr>
              <w:t xml:space="preserve"> </w:t>
            </w:r>
            <w:r w:rsidRPr="00433199">
              <w:rPr>
                <w:rFonts w:ascii="Arial (W1)" w:hAnsi="Arial (W1)" w:hint="cs"/>
                <w:noProof w:val="0"/>
                <w:sz w:val="26"/>
                <w:szCs w:val="26"/>
                <w:rtl/>
              </w:rPr>
              <w:t>גיא לוינסון</w:t>
            </w:r>
            <w:r>
              <w:rPr>
                <w:rFonts w:ascii="Arial (W1)" w:hAnsi="Arial (W1)" w:hint="cs"/>
                <w:b/>
                <w:bCs/>
                <w:noProof w:val="0"/>
                <w:sz w:val="26"/>
                <w:szCs w:val="26"/>
                <w:rtl/>
              </w:rPr>
              <w:t xml:space="preserve"> </w:t>
            </w:r>
          </w:p>
        </w:tc>
      </w:tr>
    </w:tbl>
    <w:p w:rsidR="00FB4A98" w:rsidRDefault="00FB4A98" w:rsidP="00FB4A98">
      <w:pPr>
        <w:suppressLineNumbers/>
        <w:rPr>
          <w:rFonts w:ascii="Arial (W1)" w:hAnsi="Arial (W1)"/>
          <w:sz w:val="28"/>
          <w:szCs w:val="28"/>
          <w:rtl/>
        </w:rPr>
      </w:pPr>
    </w:p>
    <w:p w:rsidR="00FB4A98" w:rsidRDefault="00FB4A98" w:rsidP="00FB4A98">
      <w:pPr>
        <w:suppressLineNumbers/>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B4A98" w:rsidTr="00BA2541">
        <w:trPr>
          <w:jc w:val="center"/>
        </w:trPr>
        <w:tc>
          <w:tcPr>
            <w:tcW w:w="8820" w:type="dxa"/>
          </w:tcPr>
          <w:p w:rsidR="00FB4A98" w:rsidRDefault="00FB4A98" w:rsidP="00BA2541">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FB4A98" w:rsidRPr="00FB4A98" w:rsidRDefault="00FB4A98" w:rsidP="00FB4A98">
            <w:pPr>
              <w:bidi w:val="0"/>
              <w:jc w:val="center"/>
              <w:rPr>
                <w:rFonts w:ascii="Arial" w:hAnsi="Arial"/>
                <w:b/>
                <w:bCs/>
                <w:noProof w:val="0"/>
                <w:u w:val="single"/>
              </w:rPr>
            </w:pPr>
            <w:r w:rsidRPr="00FB4A98">
              <w:rPr>
                <w:rFonts w:ascii="Arial" w:hAnsi="Arial" w:hint="cs"/>
                <w:b/>
                <w:bCs/>
                <w:noProof w:val="0"/>
                <w:u w:val="single"/>
                <w:rtl/>
              </w:rPr>
              <w:t>(עותק מוגה ומתוקן)</w:t>
            </w:r>
          </w:p>
        </w:tc>
      </w:tr>
    </w:tbl>
    <w:p w:rsidR="00FB4A98" w:rsidRDefault="00FB4A98" w:rsidP="00FB4A98">
      <w:pPr>
        <w:spacing w:line="360" w:lineRule="auto"/>
        <w:jc w:val="both"/>
        <w:rPr>
          <w:rFonts w:ascii="Arial" w:hAnsi="Arial"/>
          <w:noProof w:val="0"/>
          <w:rtl/>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תמצית התביעה: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התובעת הייתה ערבה לחובות של חַבַרות הקשורות לבנה. התובע הוא בעלה.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הנתבע מימש את הערבויות של התובעת ובכך גבה את חובו מאותן חַבַרות.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התובעים מבקשים בתביעה זו להצהיר על בטלותן של הערבויות, מטעמים הקשורים למצבה הרפואי-מנטלי של התובעת בעת חתימתה על הערבויות, אי הבנת השפה העברית, גילם המבוגר של התובעים, אי-גילוי נאות ועוד, וכן הם מבקשים לחייב את הנתבע בהשבת כל הכספים שנגבו ופיצוי בגין עגמת נפש.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הנתבעים מכחישים את כל טענות התובעים ועותרים לדחיית התביעה. </w:t>
      </w:r>
    </w:p>
    <w:p w:rsidR="00FB4A98" w:rsidRDefault="00FB4A98" w:rsidP="00FB4A98">
      <w:pPr>
        <w:pStyle w:val="af1"/>
        <w:spacing w:line="360" w:lineRule="auto"/>
        <w:ind w:left="369"/>
        <w:jc w:val="both"/>
        <w:rPr>
          <w:rFonts w:ascii="Arial" w:hAnsi="Arial"/>
          <w:noProof w:val="0"/>
          <w:rtl/>
        </w:rPr>
      </w:pPr>
    </w:p>
    <w:p w:rsidR="00FB4A98" w:rsidRDefault="00FB4A98" w:rsidP="00FB4A98">
      <w:pPr>
        <w:pStyle w:val="af1"/>
        <w:numPr>
          <w:ilvl w:val="0"/>
          <w:numId w:val="1"/>
        </w:numPr>
        <w:spacing w:line="360" w:lineRule="auto"/>
        <w:ind w:left="369"/>
        <w:jc w:val="both"/>
        <w:rPr>
          <w:rFonts w:ascii="Arial" w:hAnsi="Arial"/>
          <w:noProof w:val="0"/>
          <w:rtl/>
        </w:rPr>
      </w:pPr>
      <w:r>
        <w:rPr>
          <w:rFonts w:ascii="Arial" w:hAnsi="Arial" w:hint="cs"/>
          <w:noProof w:val="0"/>
          <w:rtl/>
        </w:rPr>
        <w:t xml:space="preserve">בשל טעמים הקשורים לחיסיון רפואי של התובעת, פסק הדין ניתן ללא ציון שמותיהם של התובעים ותוך ציון שמותיהם של בני משפחתם, הקשורים לתביעה, בראשי התיבות של שמותיהם הפרטיים בלבד. </w:t>
      </w:r>
    </w:p>
    <w:p w:rsidR="00FB4A98" w:rsidRDefault="00FB4A98" w:rsidP="00FB4A98">
      <w:pPr>
        <w:spacing w:line="360" w:lineRule="auto"/>
        <w:ind w:left="9"/>
        <w:jc w:val="both"/>
        <w:rPr>
          <w:rFonts w:ascii="Arial" w:hAnsi="Arial"/>
          <w:noProof w:val="0"/>
          <w:rtl/>
        </w:rPr>
      </w:pPr>
    </w:p>
    <w:p w:rsidR="00FB4A98" w:rsidRPr="00DA10D6" w:rsidRDefault="00FB4A98" w:rsidP="00FB4A98">
      <w:pPr>
        <w:spacing w:line="360" w:lineRule="auto"/>
        <w:ind w:left="9"/>
        <w:jc w:val="both"/>
        <w:rPr>
          <w:rFonts w:ascii="Arial" w:hAnsi="Arial"/>
          <w:b/>
          <w:bCs/>
          <w:noProof w:val="0"/>
          <w:u w:val="single"/>
        </w:rPr>
      </w:pPr>
      <w:r w:rsidRPr="00DA10D6">
        <w:rPr>
          <w:rFonts w:ascii="Arial" w:hAnsi="Arial" w:hint="cs"/>
          <w:b/>
          <w:bCs/>
          <w:noProof w:val="0"/>
          <w:u w:val="single"/>
          <w:rtl/>
        </w:rPr>
        <w:t>רקע עובדתי</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בנם של התובעים, ב' (כך הוא יכונה להלן), היה אחד משני בעלי המניות והדירקטורים בחברת בלאק קיוב בע"מ (להלן </w:t>
      </w:r>
      <w:r>
        <w:rPr>
          <w:rFonts w:ascii="Arial" w:hAnsi="Arial"/>
          <w:noProof w:val="0"/>
          <w:rtl/>
        </w:rPr>
        <w:t>–</w:t>
      </w:r>
      <w:r>
        <w:rPr>
          <w:rFonts w:ascii="Arial" w:hAnsi="Arial" w:hint="cs"/>
          <w:noProof w:val="0"/>
          <w:rtl/>
        </w:rPr>
        <w:t xml:space="preserve"> "</w:t>
      </w:r>
      <w:r w:rsidRPr="006D6345">
        <w:rPr>
          <w:rFonts w:ascii="Arial" w:hAnsi="Arial" w:hint="cs"/>
          <w:b/>
          <w:bCs/>
          <w:noProof w:val="0"/>
          <w:rtl/>
        </w:rPr>
        <w:t>בלאק קיוב</w:t>
      </w:r>
      <w:r>
        <w:rPr>
          <w:rFonts w:ascii="Arial" w:hAnsi="Arial" w:hint="cs"/>
          <w:noProof w:val="0"/>
          <w:rtl/>
        </w:rPr>
        <w:t xml:space="preserve">"), השני היה יהודה מאור (להלן </w:t>
      </w:r>
      <w:r>
        <w:rPr>
          <w:rFonts w:ascii="Arial" w:hAnsi="Arial"/>
          <w:noProof w:val="0"/>
          <w:rtl/>
        </w:rPr>
        <w:t>–</w:t>
      </w:r>
      <w:r>
        <w:rPr>
          <w:rFonts w:ascii="Arial" w:hAnsi="Arial" w:hint="cs"/>
          <w:noProof w:val="0"/>
          <w:rtl/>
        </w:rPr>
        <w:t xml:space="preserve"> "</w:t>
      </w:r>
      <w:r w:rsidRPr="006D6345">
        <w:rPr>
          <w:rFonts w:ascii="Arial" w:hAnsi="Arial" w:hint="cs"/>
          <w:b/>
          <w:bCs/>
          <w:noProof w:val="0"/>
          <w:rtl/>
        </w:rPr>
        <w:t>מאור</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בלאק קיוב הייתה בעלת המניות של החברה המרכזית לתיקוני טלפונים בע"מ (להלן </w:t>
      </w:r>
      <w:r>
        <w:rPr>
          <w:rFonts w:ascii="Arial" w:hAnsi="Arial"/>
          <w:noProof w:val="0"/>
          <w:rtl/>
        </w:rPr>
        <w:t>–</w:t>
      </w:r>
      <w:r>
        <w:rPr>
          <w:rFonts w:ascii="Arial" w:hAnsi="Arial" w:hint="cs"/>
          <w:noProof w:val="0"/>
          <w:rtl/>
        </w:rPr>
        <w:t xml:space="preserve"> "</w:t>
      </w:r>
      <w:r w:rsidRPr="006D6345">
        <w:rPr>
          <w:rFonts w:ascii="Arial" w:hAnsi="Arial" w:hint="cs"/>
          <w:b/>
          <w:bCs/>
          <w:noProof w:val="0"/>
          <w:rtl/>
        </w:rPr>
        <w:t>החברה המרכזית</w:t>
      </w:r>
      <w:r>
        <w:rPr>
          <w:rFonts w:ascii="Arial" w:hAnsi="Arial" w:hint="cs"/>
          <w:noProof w:val="0"/>
          <w:rtl/>
        </w:rPr>
        <w:t xml:space="preserve">"), שמנהלה היה מאור.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על-פי הנאמר בכתב התביעה (סעיפים 11 ו-12), בלאק קיוב עסקה במתן שירותי תיקון ומעבדה לטלפונים (הכוונה לטלפונים ניידים) והחברה המרכזית עסקה "</w:t>
      </w:r>
      <w:r w:rsidRPr="009903D1">
        <w:rPr>
          <w:rFonts w:ascii="Arial" w:hAnsi="Arial" w:hint="cs"/>
          <w:b/>
          <w:bCs/>
          <w:noProof w:val="0"/>
          <w:rtl/>
        </w:rPr>
        <w:t>במכירת אחריות לטלפונים שיובאו ביבוא מקביל ואשר היבואנים הרשמיים לא היו מוכנים ליתן להם אחריות</w:t>
      </w:r>
      <w:r>
        <w:rPr>
          <w:rFonts w:ascii="Arial" w:hAnsi="Arial" w:hint="cs"/>
          <w:noProof w:val="0"/>
          <w:rtl/>
        </w:rPr>
        <w:t>".</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(בלאק קיוב והחברה המרכזית יכונו להלן יחד </w:t>
      </w:r>
      <w:r>
        <w:rPr>
          <w:rFonts w:ascii="Arial" w:hAnsi="Arial"/>
          <w:noProof w:val="0"/>
          <w:rtl/>
        </w:rPr>
        <w:t>–</w:t>
      </w:r>
      <w:r>
        <w:rPr>
          <w:rFonts w:ascii="Arial" w:hAnsi="Arial" w:hint="cs"/>
          <w:noProof w:val="0"/>
          <w:rtl/>
        </w:rPr>
        <w:t xml:space="preserve"> "</w:t>
      </w:r>
      <w:r w:rsidRPr="009903D1">
        <w:rPr>
          <w:rFonts w:ascii="Arial" w:hAnsi="Arial" w:hint="cs"/>
          <w:b/>
          <w:bCs/>
          <w:noProof w:val="0"/>
          <w:rtl/>
        </w:rPr>
        <w:t>החַבַרות</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במהלך שנת 2016 פתחו החַבַרות חשבונות בנק בסניף בני ברק של הנתבע (אז </w:t>
      </w:r>
      <w:r>
        <w:rPr>
          <w:rFonts w:ascii="Arial" w:hAnsi="Arial"/>
          <w:noProof w:val="0"/>
          <w:rtl/>
        </w:rPr>
        <w:t>–</w:t>
      </w:r>
      <w:r>
        <w:rPr>
          <w:rFonts w:ascii="Arial" w:hAnsi="Arial" w:hint="cs"/>
          <w:noProof w:val="0"/>
          <w:rtl/>
        </w:rPr>
        <w:t xml:space="preserve"> בנק פועלי אגודת ישראל, שמוזג לתוך הנתבע) (להלן </w:t>
      </w:r>
      <w:r>
        <w:rPr>
          <w:rFonts w:ascii="Arial" w:hAnsi="Arial"/>
          <w:noProof w:val="0"/>
          <w:rtl/>
        </w:rPr>
        <w:t>–</w:t>
      </w:r>
      <w:r>
        <w:rPr>
          <w:rFonts w:ascii="Arial" w:hAnsi="Arial" w:hint="cs"/>
          <w:noProof w:val="0"/>
          <w:rtl/>
        </w:rPr>
        <w:t xml:space="preserve"> "</w:t>
      </w:r>
      <w:r w:rsidRPr="009903D1">
        <w:rPr>
          <w:rFonts w:ascii="Arial" w:hAnsi="Arial" w:hint="cs"/>
          <w:b/>
          <w:bCs/>
          <w:noProof w:val="0"/>
          <w:rtl/>
        </w:rPr>
        <w:t>הסניף</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 ומאור חתמו על כתבי ערבויות ללא הגבלה לחובותיהן של החַבַרות כלפי הנתבע (גם בלאק  קיוב חתמה כערבה לחובותיה של החברה המרכזית), ונרשם שעבוד צף על כל נכסיהם.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הנתבע העמיד מעת לעת אשראים והלוואות מסוגים שונים לחַבַרות, שלהבטחת פירעונ</w:t>
      </w:r>
      <w:r>
        <w:rPr>
          <w:rFonts w:ascii="Arial" w:hAnsi="Arial" w:hint="eastAsia"/>
          <w:noProof w:val="0"/>
          <w:rtl/>
        </w:rPr>
        <w:t>ן</w:t>
      </w:r>
      <w:r>
        <w:rPr>
          <w:rFonts w:ascii="Arial" w:hAnsi="Arial" w:hint="cs"/>
          <w:noProof w:val="0"/>
          <w:rtl/>
        </w:rPr>
        <w:t xml:space="preserve"> שימשו הערבויות האישיות, פיקדונו</w:t>
      </w:r>
      <w:r>
        <w:rPr>
          <w:rFonts w:ascii="Arial" w:hAnsi="Arial" w:hint="eastAsia"/>
          <w:noProof w:val="0"/>
          <w:rtl/>
        </w:rPr>
        <w:t>ת</w:t>
      </w:r>
      <w:r>
        <w:rPr>
          <w:rFonts w:ascii="Arial" w:hAnsi="Arial" w:hint="cs"/>
          <w:noProof w:val="0"/>
          <w:rtl/>
        </w:rPr>
        <w:t xml:space="preserve"> ש"הוקפאו", השעבודים הצפים ושיקים מתועדים שהופקדו למשמרת.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התובעת פתחה חשבון על שמה בסניף ביום 21.12.2017.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הצדדים חלוקים בשאלה, מה הביא את התובעת לפתוח חשבון בסניף, ובמועד זה דווקא, ומחלוקת זו תפורט בהמשך.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על-פי האמור בתצהיר העדות הראשית של עובדת הבנק, רבקה גלנץ (להלן </w:t>
      </w:r>
      <w:r>
        <w:rPr>
          <w:rFonts w:ascii="Arial" w:hAnsi="Arial"/>
          <w:noProof w:val="0"/>
          <w:rtl/>
        </w:rPr>
        <w:t>–</w:t>
      </w:r>
      <w:r>
        <w:rPr>
          <w:rFonts w:ascii="Arial" w:hAnsi="Arial" w:hint="cs"/>
          <w:noProof w:val="0"/>
          <w:rtl/>
        </w:rPr>
        <w:t xml:space="preserve"> "</w:t>
      </w:r>
      <w:r w:rsidRPr="002B4938">
        <w:rPr>
          <w:rFonts w:ascii="Arial" w:hAnsi="Arial" w:hint="cs"/>
          <w:b/>
          <w:bCs/>
          <w:noProof w:val="0"/>
          <w:rtl/>
        </w:rPr>
        <w:t>גלנץ</w:t>
      </w:r>
      <w:r>
        <w:rPr>
          <w:rFonts w:ascii="Arial" w:hAnsi="Arial" w:hint="cs"/>
          <w:noProof w:val="0"/>
          <w:rtl/>
        </w:rPr>
        <w:t>"), חשבון התובעת נפתח כ"</w:t>
      </w:r>
      <w:r w:rsidRPr="00795D87">
        <w:rPr>
          <w:rFonts w:ascii="Arial" w:hAnsi="Arial" w:hint="cs"/>
          <w:b/>
          <w:bCs/>
          <w:noProof w:val="0"/>
          <w:rtl/>
        </w:rPr>
        <w:t>חשבון תמורה בלבד</w:t>
      </w:r>
      <w:r>
        <w:rPr>
          <w:rFonts w:ascii="Arial" w:hAnsi="Arial" w:hint="cs"/>
          <w:noProof w:val="0"/>
          <w:rtl/>
        </w:rPr>
        <w:t xml:space="preserve">", כלומר כחשבון ללא פעילות שוטפת, אלא לביצוע השקעות בני"ע ומט"ח.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התובעת הסמיכה את התובע (בעלה) להיות מיופה כוח בחשבונה.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במהלך המחצית הראשונה של שנת 2018 חתמה התובעת על שלוש ערבויות מוגבלות בסכום (אחת מהן פוצלה לשתיים) , להבטחת חובותיהן של החַבַרות, כדלקמן: </w:t>
      </w:r>
    </w:p>
    <w:p w:rsidR="00FB4A98" w:rsidRDefault="00FB4A98" w:rsidP="00FB4A98">
      <w:pPr>
        <w:pStyle w:val="af1"/>
        <w:numPr>
          <w:ilvl w:val="1"/>
          <w:numId w:val="1"/>
        </w:numPr>
        <w:spacing w:line="360" w:lineRule="auto"/>
        <w:ind w:left="794" w:hanging="425"/>
        <w:jc w:val="both"/>
        <w:rPr>
          <w:rFonts w:ascii="Arial" w:hAnsi="Arial"/>
          <w:noProof w:val="0"/>
        </w:rPr>
      </w:pPr>
      <w:r>
        <w:rPr>
          <w:rFonts w:ascii="Arial" w:hAnsi="Arial" w:hint="cs"/>
          <w:noProof w:val="0"/>
          <w:rtl/>
        </w:rPr>
        <w:t xml:space="preserve">הערבות הראשונה נחתמה ביום 1.1.2018, מוגבלת לסכום של 4 מיליון ₪, להבטחת חובות בלאק קיוב.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ערבות זו לא נחתמה בסניף, אלא בסניף הנתבע בירושלים (להלן </w:t>
      </w:r>
      <w:r>
        <w:rPr>
          <w:rFonts w:ascii="Arial" w:hAnsi="Arial"/>
          <w:noProof w:val="0"/>
          <w:rtl/>
        </w:rPr>
        <w:t>–</w:t>
      </w:r>
      <w:r>
        <w:rPr>
          <w:rFonts w:ascii="Arial" w:hAnsi="Arial" w:hint="cs"/>
          <w:noProof w:val="0"/>
          <w:rtl/>
        </w:rPr>
        <w:t xml:space="preserve"> "</w:t>
      </w:r>
      <w:r w:rsidRPr="002B4938">
        <w:rPr>
          <w:rFonts w:ascii="Arial" w:hAnsi="Arial" w:hint="cs"/>
          <w:b/>
          <w:bCs/>
          <w:noProof w:val="0"/>
          <w:rtl/>
        </w:rPr>
        <w:t>סניף ירושלים</w:t>
      </w:r>
      <w:r>
        <w:rPr>
          <w:rFonts w:ascii="Arial" w:hAnsi="Arial" w:hint="cs"/>
          <w:noProof w:val="0"/>
          <w:rtl/>
        </w:rPr>
        <w:t xml:space="preserve">"), עיר מגוריהם של התובעים.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על-פי האמור בתצהיר גלנץ (סעיף 28), ערבות זו ניתנה בעקבות בקשת בלאק קיוב להעמיד לה הלוואה (נוספת על ההלוואות והאשראים הקיימים) בסך 1.7 מיליון ₪, לצורך רכישת מלאי מכשירים סלולריים מחודשים.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(להלן </w:t>
      </w:r>
      <w:r>
        <w:rPr>
          <w:rFonts w:ascii="Arial" w:hAnsi="Arial"/>
          <w:noProof w:val="0"/>
          <w:rtl/>
        </w:rPr>
        <w:t>–</w:t>
      </w:r>
      <w:r>
        <w:rPr>
          <w:rFonts w:ascii="Arial" w:hAnsi="Arial" w:hint="cs"/>
          <w:noProof w:val="0"/>
          <w:rtl/>
        </w:rPr>
        <w:t xml:space="preserve"> "</w:t>
      </w:r>
      <w:r w:rsidRPr="0093197B">
        <w:rPr>
          <w:rFonts w:ascii="Arial" w:hAnsi="Arial" w:hint="cs"/>
          <w:b/>
          <w:bCs/>
          <w:noProof w:val="0"/>
          <w:rtl/>
        </w:rPr>
        <w:t>הערבות הראשונה</w:t>
      </w:r>
      <w:r>
        <w:rPr>
          <w:rFonts w:ascii="Arial" w:hAnsi="Arial" w:hint="cs"/>
          <w:noProof w:val="0"/>
          <w:rtl/>
        </w:rPr>
        <w:t xml:space="preserve">"). </w:t>
      </w:r>
    </w:p>
    <w:p w:rsidR="00FB4A98" w:rsidRDefault="00FB4A98" w:rsidP="00FB4A98">
      <w:pPr>
        <w:pStyle w:val="af1"/>
        <w:spacing w:line="360" w:lineRule="auto"/>
        <w:ind w:left="794"/>
        <w:jc w:val="both"/>
        <w:rPr>
          <w:rFonts w:ascii="Arial" w:hAnsi="Arial"/>
          <w:noProof w:val="0"/>
          <w:rtl/>
        </w:rPr>
      </w:pPr>
    </w:p>
    <w:p w:rsidR="00FB4A98" w:rsidRPr="0093197B" w:rsidRDefault="00FB4A98" w:rsidP="00FB4A98">
      <w:pPr>
        <w:pStyle w:val="af1"/>
        <w:spacing w:line="360" w:lineRule="auto"/>
        <w:ind w:left="794"/>
        <w:jc w:val="both"/>
        <w:rPr>
          <w:rFonts w:ascii="Arial" w:hAnsi="Arial"/>
          <w:noProof w:val="0"/>
        </w:rPr>
      </w:pPr>
    </w:p>
    <w:p w:rsidR="00FB4A98" w:rsidRDefault="00FB4A98" w:rsidP="00FB4A98">
      <w:pPr>
        <w:pStyle w:val="af1"/>
        <w:numPr>
          <w:ilvl w:val="1"/>
          <w:numId w:val="1"/>
        </w:numPr>
        <w:spacing w:line="360" w:lineRule="auto"/>
        <w:ind w:left="794" w:hanging="425"/>
        <w:jc w:val="both"/>
        <w:rPr>
          <w:rFonts w:ascii="Arial" w:hAnsi="Arial"/>
          <w:noProof w:val="0"/>
        </w:rPr>
      </w:pPr>
      <w:r>
        <w:rPr>
          <w:rFonts w:ascii="Arial" w:hAnsi="Arial" w:hint="cs"/>
          <w:noProof w:val="0"/>
          <w:rtl/>
        </w:rPr>
        <w:t xml:space="preserve">הערבות השנייה נחתמה ביום 11.1.2018.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ערבות זו פוצלה לשתי ערבויות, האחת </w:t>
      </w:r>
      <w:r>
        <w:rPr>
          <w:rFonts w:ascii="Arial" w:hAnsi="Arial"/>
          <w:noProof w:val="0"/>
          <w:rtl/>
        </w:rPr>
        <w:t>–</w:t>
      </w:r>
      <w:r>
        <w:rPr>
          <w:rFonts w:ascii="Arial" w:hAnsi="Arial" w:hint="cs"/>
          <w:noProof w:val="0"/>
          <w:rtl/>
        </w:rPr>
        <w:t xml:space="preserve"> מוגבלת לסך של 3.5 מיליון ₪, להבטחת חובותיה של בלאק קיוב, השנייה </w:t>
      </w:r>
      <w:r>
        <w:rPr>
          <w:rFonts w:ascii="Arial" w:hAnsi="Arial"/>
          <w:noProof w:val="0"/>
          <w:rtl/>
        </w:rPr>
        <w:t>–</w:t>
      </w:r>
      <w:r>
        <w:rPr>
          <w:rFonts w:ascii="Arial" w:hAnsi="Arial" w:hint="cs"/>
          <w:noProof w:val="0"/>
          <w:rtl/>
        </w:rPr>
        <w:t xml:space="preserve"> על סך 500,000 ₪ להבטחת חובותיה של החברה המרכזית. </w:t>
      </w:r>
      <w:r>
        <w:rPr>
          <w:rFonts w:ascii="Arial" w:hAnsi="Arial"/>
          <w:noProof w:val="0"/>
          <w:rtl/>
        </w:rPr>
        <w:br/>
      </w:r>
      <w:r>
        <w:rPr>
          <w:rFonts w:ascii="Arial" w:hAnsi="Arial" w:hint="cs"/>
          <w:noProof w:val="0"/>
          <w:rtl/>
        </w:rPr>
        <w:t xml:space="preserve">על-פי הנאמר בתצהיר גלנץ (סעיפים 35-34), שתי הערבויות הללו החליפו, למעשה, את הערבות הראשונה על סך 4 מיליון ₪ , שפוצלה לשתי ערבויות כאמור, והדבר נעשה בעקבות בקשת החברה המרכזית להעמיד לה הלוואה שנזקקה לה באותה העת, על סך 500,000 ₪.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גם ערבות (כפולה) זו נחתמה בסניף ירושלים.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(להלן </w:t>
      </w:r>
      <w:r>
        <w:rPr>
          <w:rFonts w:ascii="Arial" w:hAnsi="Arial"/>
          <w:noProof w:val="0"/>
          <w:rtl/>
        </w:rPr>
        <w:t>–</w:t>
      </w:r>
      <w:r>
        <w:rPr>
          <w:rFonts w:ascii="Arial" w:hAnsi="Arial" w:hint="cs"/>
          <w:noProof w:val="0"/>
          <w:rtl/>
        </w:rPr>
        <w:t xml:space="preserve"> "</w:t>
      </w:r>
      <w:r w:rsidRPr="0093197B">
        <w:rPr>
          <w:rFonts w:ascii="Arial" w:hAnsi="Arial" w:hint="cs"/>
          <w:b/>
          <w:bCs/>
          <w:noProof w:val="0"/>
          <w:rtl/>
        </w:rPr>
        <w:t>הערבות השנייה ל</w:t>
      </w:r>
      <w:r>
        <w:rPr>
          <w:rFonts w:ascii="Arial" w:hAnsi="Arial" w:hint="cs"/>
          <w:b/>
          <w:bCs/>
          <w:noProof w:val="0"/>
          <w:rtl/>
        </w:rPr>
        <w:t xml:space="preserve">בלאק </w:t>
      </w:r>
      <w:r w:rsidRPr="0093197B">
        <w:rPr>
          <w:rFonts w:ascii="Arial" w:hAnsi="Arial" w:hint="cs"/>
          <w:b/>
          <w:bCs/>
          <w:noProof w:val="0"/>
          <w:rtl/>
        </w:rPr>
        <w:t xml:space="preserve"> קיוב</w:t>
      </w:r>
      <w:r>
        <w:rPr>
          <w:rFonts w:ascii="Arial" w:hAnsi="Arial" w:hint="cs"/>
          <w:noProof w:val="0"/>
          <w:rtl/>
        </w:rPr>
        <w:t>", ו"</w:t>
      </w:r>
      <w:r w:rsidRPr="0093197B">
        <w:rPr>
          <w:rFonts w:ascii="Arial" w:hAnsi="Arial" w:hint="cs"/>
          <w:b/>
          <w:bCs/>
          <w:noProof w:val="0"/>
          <w:rtl/>
        </w:rPr>
        <w:t>הערבות השנייה לחברה המרכזית</w:t>
      </w:r>
      <w:r>
        <w:rPr>
          <w:rFonts w:ascii="Arial" w:hAnsi="Arial" w:hint="cs"/>
          <w:noProof w:val="0"/>
          <w:rtl/>
        </w:rPr>
        <w:t xml:space="preserve">", בהתאמה). </w:t>
      </w:r>
    </w:p>
    <w:p w:rsidR="00FB4A98" w:rsidRDefault="00FB4A98" w:rsidP="00FB4A98">
      <w:pPr>
        <w:pStyle w:val="af1"/>
        <w:spacing w:line="360" w:lineRule="auto"/>
        <w:ind w:left="794"/>
        <w:jc w:val="both"/>
        <w:rPr>
          <w:rFonts w:ascii="Arial" w:hAnsi="Arial"/>
          <w:noProof w:val="0"/>
        </w:rPr>
      </w:pPr>
    </w:p>
    <w:p w:rsidR="00FB4A98" w:rsidRDefault="00FB4A98" w:rsidP="00FB4A98">
      <w:pPr>
        <w:pStyle w:val="af1"/>
        <w:numPr>
          <w:ilvl w:val="1"/>
          <w:numId w:val="1"/>
        </w:numPr>
        <w:spacing w:line="360" w:lineRule="auto"/>
        <w:ind w:left="794" w:hanging="425"/>
        <w:jc w:val="both"/>
        <w:rPr>
          <w:rFonts w:ascii="Arial" w:hAnsi="Arial"/>
          <w:noProof w:val="0"/>
        </w:rPr>
      </w:pPr>
      <w:r>
        <w:rPr>
          <w:rFonts w:ascii="Arial" w:hAnsi="Arial" w:hint="cs"/>
          <w:noProof w:val="0"/>
          <w:rtl/>
        </w:rPr>
        <w:t xml:space="preserve">הערבות השלישית נחתמה ביום 7.6.2018, על סך 4.5 מיליון ₪, להבטחת חובותיה של בלאק קיוב.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על-פי הנאמר בתצהיר גלנץ (סעיף 43), ערבות זו הגדילה את סכום הערבות השנייה לבלאק  קיוב, והיא ניתנה בעקבות פניית בלאק קיוב לנתבע, לקבלת אשראי נוסף בסך של 800,000 ₪, "</w:t>
      </w:r>
      <w:r w:rsidRPr="001D7EDD">
        <w:rPr>
          <w:rFonts w:ascii="Arial" w:hAnsi="Arial" w:hint="cs"/>
          <w:b/>
          <w:bCs/>
          <w:noProof w:val="0"/>
          <w:rtl/>
        </w:rPr>
        <w:t>לצורך הגדלת פעילותה (לאחר שלטענתה זכתה במכרז לרכישת מכשירי סלולר מקולקלים)</w:t>
      </w:r>
      <w:r>
        <w:rPr>
          <w:rFonts w:ascii="Arial" w:hAnsi="Arial" w:hint="cs"/>
          <w:noProof w:val="0"/>
          <w:rtl/>
        </w:rPr>
        <w:t xml:space="preserve">".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ערבות זו נחתמה בסניף (סניף בני-ברק).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(להלן </w:t>
      </w:r>
      <w:r>
        <w:rPr>
          <w:rFonts w:ascii="Arial" w:hAnsi="Arial"/>
          <w:noProof w:val="0"/>
          <w:rtl/>
        </w:rPr>
        <w:t>–</w:t>
      </w:r>
      <w:r>
        <w:rPr>
          <w:rFonts w:ascii="Arial" w:hAnsi="Arial" w:hint="cs"/>
          <w:noProof w:val="0"/>
          <w:rtl/>
        </w:rPr>
        <w:t xml:space="preserve"> "</w:t>
      </w:r>
      <w:r w:rsidRPr="001D7EDD">
        <w:rPr>
          <w:rFonts w:ascii="Arial" w:hAnsi="Arial" w:hint="cs"/>
          <w:b/>
          <w:bCs/>
          <w:noProof w:val="0"/>
          <w:rtl/>
        </w:rPr>
        <w:t>הערבות השלישית</w:t>
      </w:r>
      <w:r>
        <w:rPr>
          <w:rFonts w:ascii="Arial" w:hAnsi="Arial" w:hint="cs"/>
          <w:noProof w:val="0"/>
          <w:rtl/>
        </w:rPr>
        <w:t xml:space="preserve">").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הערבות השנייה לחברה המרכזית על סך 500,000 ₪ , נותרה בעינה.</w:t>
      </w:r>
    </w:p>
    <w:p w:rsidR="00FB4A98" w:rsidRDefault="00FB4A98" w:rsidP="00FB4A98">
      <w:pPr>
        <w:pStyle w:val="af1"/>
        <w:spacing w:line="360" w:lineRule="auto"/>
        <w:ind w:left="794"/>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בתחילת חודש יולי 2018 התקבל אצל הנתבע צו ממשטרת ישראל להקפאת החשבונות הקשורים לב' ולמאור ונודע לנתבע כי השניים נעצרו בשל חשדות מתחום עבירות הסמים.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בעקבות כך, העמיד הנתבע את חובות החַבַרות לפירעון מיידי ופעל למימוש הביטחונות שניתנו להם, ובכלל זה הוא מימש את ערבויות התובעת, על דרך מכירת ני"ע והמרת מט"ח בחשבונה והעביר מחשבונה סך כולל של 4.5 מיליון ₪ לכיסוי חובות בלאק קיוב וסך של 500,000 ₪ לכיסוי החובות של החברה המרכזית.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בכך מומשה, למעשה, הערבות השלישית בסך 4.5 מיליון ₪, לפירעון חובות בלאק קיוב, והערבות השנייה לחברה המרכזית בסך 500,000 ₪.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lastRenderedPageBreak/>
        <w:t xml:space="preserve">להשלמת התמונה יצוין, כי לאחר חקירה, ב' נוקה מכל חשד, ואילו מאור נשפט, הורשע, ישב במאסר, ושוחרר בינתיים (סעיף 61 לתצהיר מאור).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לדברי ב' (סעיפים 21 ואילך בתצהירו), מאור ניצל את כספי החַבַרות לצורך השקעותיו בתחום הסמים. עניין זה לא הובהר במשפט.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להסרת ספק יובהר, כי איש אינו טוען שלנתבע, או למי מעובדיו, הייתה ידיעה על כך.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על-פי תיאורה של גלנץ (סעיף 53 לתצהירה), "</w:t>
      </w:r>
      <w:r w:rsidRPr="00286364">
        <w:rPr>
          <w:rFonts w:ascii="Arial" w:hAnsi="Arial" w:hint="cs"/>
          <w:b/>
          <w:bCs/>
          <w:noProof w:val="0"/>
          <w:rtl/>
        </w:rPr>
        <w:t>כולנו בסניף היינו המומים שכן לא העלנו הדבר על דעתנו</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נתונים רלבנטיי</w:t>
      </w:r>
      <w:r>
        <w:rPr>
          <w:rFonts w:ascii="Arial" w:hAnsi="Arial" w:hint="eastAsia"/>
          <w:noProof w:val="0"/>
          <w:rtl/>
        </w:rPr>
        <w:t>ם</w:t>
      </w:r>
      <w:r>
        <w:rPr>
          <w:rFonts w:ascii="Arial" w:hAnsi="Arial" w:hint="cs"/>
          <w:noProof w:val="0"/>
          <w:rtl/>
        </w:rPr>
        <w:t xml:space="preserve"> נוספים, שעובדתית אינם שנויים במחלוקת, אך על משמעותם ונפקותם קיימת מחלוקת רבתי, כפי שיפורט בהמשך: </w:t>
      </w:r>
    </w:p>
    <w:p w:rsidR="00FB4A98" w:rsidRDefault="00FB4A98" w:rsidP="00FB4A98">
      <w:pPr>
        <w:pStyle w:val="af1"/>
        <w:numPr>
          <w:ilvl w:val="1"/>
          <w:numId w:val="1"/>
        </w:numPr>
        <w:spacing w:line="360" w:lineRule="auto"/>
        <w:ind w:left="794" w:hanging="425"/>
        <w:jc w:val="both"/>
        <w:rPr>
          <w:rFonts w:ascii="Arial" w:hAnsi="Arial"/>
          <w:noProof w:val="0"/>
          <w:rtl/>
        </w:rPr>
      </w:pPr>
      <w:r>
        <w:rPr>
          <w:rFonts w:ascii="Arial" w:hAnsi="Arial" w:hint="cs"/>
          <w:noProof w:val="0"/>
          <w:rtl/>
        </w:rPr>
        <w:t xml:space="preserve">גיל התובעת בעת פתיחת חשבונה בסניף ובעת חתימתה על הערבויות היה 80-79 שנים. </w:t>
      </w:r>
    </w:p>
    <w:p w:rsidR="00FB4A98" w:rsidRDefault="00FB4A98" w:rsidP="00FB4A98">
      <w:pPr>
        <w:pStyle w:val="af1"/>
        <w:spacing w:line="360" w:lineRule="auto"/>
        <w:ind w:left="369" w:firstLine="351"/>
        <w:jc w:val="both"/>
        <w:rPr>
          <w:rFonts w:ascii="Arial" w:hAnsi="Arial"/>
          <w:noProof w:val="0"/>
          <w:rtl/>
        </w:rPr>
      </w:pPr>
      <w:r>
        <w:rPr>
          <w:rFonts w:ascii="Arial" w:hAnsi="Arial" w:hint="cs"/>
          <w:noProof w:val="0"/>
          <w:rtl/>
        </w:rPr>
        <w:t xml:space="preserve">גיל התובע היה באותה עת 81 שנים. </w:t>
      </w:r>
    </w:p>
    <w:p w:rsidR="00FB4A98" w:rsidRDefault="00FB4A98" w:rsidP="00FB4A98">
      <w:pPr>
        <w:pStyle w:val="af1"/>
        <w:numPr>
          <w:ilvl w:val="1"/>
          <w:numId w:val="1"/>
        </w:numPr>
        <w:spacing w:line="360" w:lineRule="auto"/>
        <w:ind w:left="794" w:hanging="425"/>
        <w:jc w:val="both"/>
        <w:rPr>
          <w:rFonts w:ascii="Arial" w:hAnsi="Arial"/>
          <w:noProof w:val="0"/>
        </w:rPr>
      </w:pPr>
      <w:r>
        <w:rPr>
          <w:rFonts w:ascii="Arial" w:hAnsi="Arial" w:hint="cs"/>
          <w:noProof w:val="0"/>
          <w:rtl/>
        </w:rPr>
        <w:t xml:space="preserve">שפתם העיקרית של התובעים, שהתגוררו לסירוגין בישראל ובבלגיה, הייתה צרפתית. </w:t>
      </w:r>
    </w:p>
    <w:p w:rsidR="00FB4A98" w:rsidRDefault="00FB4A98" w:rsidP="00FB4A98">
      <w:pPr>
        <w:pStyle w:val="af1"/>
        <w:spacing w:line="360" w:lineRule="auto"/>
        <w:ind w:left="794"/>
        <w:jc w:val="both"/>
        <w:rPr>
          <w:rFonts w:ascii="Arial" w:hAnsi="Arial"/>
          <w:noProof w:val="0"/>
        </w:rPr>
      </w:pPr>
      <w:r>
        <w:rPr>
          <w:rFonts w:ascii="Arial" w:hAnsi="Arial" w:hint="cs"/>
          <w:noProof w:val="0"/>
          <w:rtl/>
        </w:rPr>
        <w:t xml:space="preserve">קיימת מחלוקת בדבר מידת הבנתם את השפה העברית. </w:t>
      </w:r>
    </w:p>
    <w:p w:rsidR="00FB4A98" w:rsidRDefault="00FB4A98" w:rsidP="00FB4A98">
      <w:pPr>
        <w:pStyle w:val="af1"/>
        <w:numPr>
          <w:ilvl w:val="1"/>
          <w:numId w:val="1"/>
        </w:numPr>
        <w:spacing w:line="360" w:lineRule="auto"/>
        <w:ind w:left="794" w:hanging="425"/>
        <w:jc w:val="both"/>
        <w:rPr>
          <w:rFonts w:ascii="Arial" w:hAnsi="Arial"/>
          <w:noProof w:val="0"/>
        </w:rPr>
      </w:pPr>
      <w:r>
        <w:rPr>
          <w:rFonts w:ascii="Arial" w:hAnsi="Arial" w:hint="cs"/>
          <w:noProof w:val="0"/>
          <w:rtl/>
        </w:rPr>
        <w:t xml:space="preserve">קיים תיעוד רפואי המצביע על ירידה קוגניטיבית אצל התובעת, החל משנת 2016.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בין הצדדים והמומחים מטעמם ניטשה מחלוקת מרכזית בשאלת מידת התפקוד הקוגניטיבי של התובעת בעת החתימה על הערבויות הנדונות. </w:t>
      </w:r>
    </w:p>
    <w:p w:rsidR="00FB4A98" w:rsidRDefault="00FB4A98" w:rsidP="00FB4A98">
      <w:pPr>
        <w:spacing w:line="360" w:lineRule="auto"/>
        <w:jc w:val="both"/>
        <w:rPr>
          <w:rFonts w:ascii="Arial" w:hAnsi="Arial"/>
          <w:noProof w:val="0"/>
          <w:rtl/>
        </w:rPr>
      </w:pPr>
    </w:p>
    <w:p w:rsidR="00FB4A98" w:rsidRPr="00F95822" w:rsidRDefault="00FB4A98" w:rsidP="00FB4A98">
      <w:pPr>
        <w:spacing w:line="360" w:lineRule="auto"/>
        <w:jc w:val="both"/>
        <w:rPr>
          <w:rFonts w:ascii="Arial" w:hAnsi="Arial"/>
          <w:b/>
          <w:bCs/>
          <w:noProof w:val="0"/>
          <w:u w:val="single"/>
          <w:rtl/>
        </w:rPr>
      </w:pPr>
      <w:r w:rsidRPr="00F95822">
        <w:rPr>
          <w:rFonts w:ascii="Arial" w:hAnsi="Arial" w:hint="cs"/>
          <w:b/>
          <w:bCs/>
          <w:noProof w:val="0"/>
          <w:u w:val="single"/>
          <w:rtl/>
        </w:rPr>
        <w:t xml:space="preserve">התביעה ותמצית טענות הצדדים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התובעים העלו שלל טענות המצדיקות לטענתם את תביעתם.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אציין כבר כאן, ועוד אתייחס לכך בהמשך, שלא מצאתי עקביות ושיטתיות בטענות שהועלו.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טענתם המרכזית היא, שהתובעים, הן בשל גילם והן בשל חוסר הבנתם את השפה העברית, לא קיבלו מעובדי הנתבע הסברים בכלל, או הסברים מתאימים, בדבר המסמכים שנחתמו על ידם הקשורים לערבויות הנדונות.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ביחס לתובעת החתומה על הערבויות נטען (בסיכומים), שבעת חתימותיה היא הייתה "</w:t>
      </w:r>
      <w:r w:rsidRPr="0034192E">
        <w:rPr>
          <w:rFonts w:ascii="Arial" w:hAnsi="Arial" w:hint="cs"/>
          <w:b/>
          <w:bCs/>
          <w:noProof w:val="0"/>
          <w:rtl/>
        </w:rPr>
        <w:t>במצב רפואי של דמנציה מתקדמת ובעלת פגיעה קוגניטיבית, שאינה מאפשרת לה להבין את משמעות מעשיה ולכן חתימותיה על כל ארבעת כתבי הערבות השונים והמסמכים הנלווים לה בטלים מעיקרם</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עוד נטען, שהנתבע הפר את חובות הגילוי המוטלים עליו לפי </w:t>
      </w:r>
      <w:r w:rsidRPr="0034192E">
        <w:rPr>
          <w:rFonts w:ascii="Arial" w:hAnsi="Arial" w:hint="cs"/>
          <w:b/>
          <w:bCs/>
          <w:noProof w:val="0"/>
          <w:rtl/>
        </w:rPr>
        <w:t>חוק בנקאית (שירות ללקוח), התשמ"א-1981</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34192E">
        <w:rPr>
          <w:rFonts w:ascii="Arial" w:hAnsi="Arial" w:hint="cs"/>
          <w:b/>
          <w:bCs/>
          <w:noProof w:val="0"/>
          <w:rtl/>
        </w:rPr>
        <w:t>חוק הבנקאות</w:t>
      </w:r>
      <w:r>
        <w:rPr>
          <w:rFonts w:ascii="Arial" w:hAnsi="Arial" w:hint="cs"/>
          <w:noProof w:val="0"/>
          <w:rtl/>
        </w:rPr>
        <w:t xml:space="preserve">") ולפי </w:t>
      </w:r>
      <w:r w:rsidRPr="0034192E">
        <w:rPr>
          <w:rFonts w:ascii="Arial" w:hAnsi="Arial" w:hint="cs"/>
          <w:b/>
          <w:bCs/>
          <w:noProof w:val="0"/>
          <w:rtl/>
        </w:rPr>
        <w:t>חוק הערבות, התשכ"ז-1967</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34192E">
        <w:rPr>
          <w:rFonts w:ascii="Arial" w:hAnsi="Arial" w:hint="cs"/>
          <w:b/>
          <w:bCs/>
          <w:noProof w:val="0"/>
          <w:rtl/>
        </w:rPr>
        <w:t>חוק הערבות</w:t>
      </w:r>
      <w:r>
        <w:rPr>
          <w:rFonts w:ascii="Arial" w:hAnsi="Arial" w:hint="cs"/>
          <w:noProof w:val="0"/>
          <w:rtl/>
        </w:rPr>
        <w:t xml:space="preserve">"), הן בכך שלא הסביר להם את טיב המסמכים שנחתמו והן בכך שלא פירט באוזניהם את קשייהם הכלכליים של החַבַרות החייבות לפני חתימת התובעת על הערבויות.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 xml:space="preserve">התובעים טוענים עוד, שלא הייתה כל מטרה אחרת לפתיחת חשבון התובעת בסניף, מלבד מטרת החתמתה על הערבויות.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הסעדים המבוקשים בכתב התביעה הינם כאמור סעד הצהרתי שיכריז על בטלות כל הערבויות שנחתמו על-ידי התובעת, ובעקבות כך </w:t>
      </w:r>
      <w:r>
        <w:rPr>
          <w:rFonts w:ascii="Arial" w:hAnsi="Arial"/>
          <w:noProof w:val="0"/>
          <w:rtl/>
        </w:rPr>
        <w:t>–</w:t>
      </w:r>
      <w:r>
        <w:rPr>
          <w:rFonts w:ascii="Arial" w:hAnsi="Arial" w:hint="cs"/>
          <w:noProof w:val="0"/>
          <w:rtl/>
        </w:rPr>
        <w:t xml:space="preserve"> חיוב הנתבע בהשבת כל הסכומים שנגבו בעקבות מימוש הערבויות, בסכום מצטבר של 5 מיליון ₪ וכן פיצוי בסך 250,000 ₪ בגין "</w:t>
      </w:r>
      <w:r w:rsidRPr="0017601D">
        <w:rPr>
          <w:rFonts w:ascii="Arial" w:hAnsi="Arial" w:hint="cs"/>
          <w:b/>
          <w:bCs/>
          <w:noProof w:val="0"/>
          <w:rtl/>
        </w:rPr>
        <w:t xml:space="preserve">עגמת נפש, הטרדה, האי </w:t>
      </w:r>
      <w:r w:rsidRPr="00467209">
        <w:rPr>
          <w:rFonts w:ascii="Arial" w:hAnsi="Arial" w:hint="cs"/>
          <w:b/>
          <w:bCs/>
          <w:noProof w:val="0"/>
          <w:rtl/>
        </w:rPr>
        <w:t>נוחות</w:t>
      </w:r>
      <w:r>
        <w:rPr>
          <w:rFonts w:ascii="Arial" w:hAnsi="Arial" w:hint="cs"/>
          <w:noProof w:val="0"/>
          <w:rtl/>
        </w:rPr>
        <w:t xml:space="preserve">" שנגרמו להם.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יצוין, כי הן בכתב התביעה והן בסיכומים לא הובהר מכוח מה קמה תביעתו של התובע (להבדיל מהתובעת) לקבלת הסעדים שנתבעו. רק בתצהירו של התובע נכתב (בסוף סעיף 14): "י</w:t>
      </w:r>
      <w:r w:rsidRPr="005C3070">
        <w:rPr>
          <w:rFonts w:ascii="Arial" w:hAnsi="Arial" w:hint="cs"/>
          <w:b/>
          <w:bCs/>
          <w:noProof w:val="0"/>
          <w:rtl/>
        </w:rPr>
        <w:t xml:space="preserve">ובהר כי לבנק הנתבע היה ידוע כי כל כסף שיועבר לחשבון זה </w:t>
      </w:r>
      <w:r w:rsidRPr="005C3070">
        <w:rPr>
          <w:rFonts w:ascii="Arial" w:hAnsi="Arial" w:hint="cs"/>
          <w:noProof w:val="0"/>
          <w:rtl/>
        </w:rPr>
        <w:t>[החשבון שנפתח על-ידי התובעת בסניף]</w:t>
      </w:r>
      <w:r w:rsidRPr="005C3070">
        <w:rPr>
          <w:rFonts w:ascii="Arial" w:hAnsi="Arial" w:hint="cs"/>
          <w:b/>
          <w:bCs/>
          <w:noProof w:val="0"/>
          <w:rtl/>
        </w:rPr>
        <w:t xml:space="preserve"> שייך גם לי</w:t>
      </w:r>
      <w:r>
        <w:rPr>
          <w:rFonts w:ascii="Arial" w:hAnsi="Arial" w:hint="cs"/>
          <w:noProof w:val="0"/>
          <w:rtl/>
        </w:rPr>
        <w:t xml:space="preserve">", בלי לפרש ובלי לפרט יותר מכך.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הנתבעים מכחישים את כל טענותיהם של התובעים ועותרים לדחיית התביעה כולה ולחיוב התובעים בהוצאות.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בראש ובראשונה, טוען הנתבע, כי התובעים הבינו היטב את מטרת החתימה על הערבויות; כי התובעת עשתה כן מרצונה החופשי ובהבנה מלאה מתוך רצונה לסייע לעסקיו של בנה, ב'; כי גילם של התובעים לא פגם במידת הבנתם; כי שני התובעים דיברו ותקשרו עם עובדי הנתבע בשפה העברית; כי עובדי הבנק נתנו הסברים מסַפקים ומלאים בדבר המסמכים שנחתמו; וכי מצבן של החַבַרות החייבות היה איתן והם לא הסתירו דבר מהתובעים.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הנתבע טוען שהתובעים לא הוכיחו שמצבה הקוגניטיבי של התובעת בעת חתימת הערבויות מנע ממנה להבין את טיב מעשיה, וכי מהמסמכים הרפואיים שהוצגו לא עולה מסקנה זו. בקשר לכך מוסיף הנתבע ומציין כי בכל מעמדי הערבויות שנחתמו, התובעת הייתה מלווה על-ידי בעלה, התובע, שלא נטען לגביו שהוא היה במצב קוגניטיבי לקוי, ובחלק מהמקרים, ובפרט בערבות השלישית שמומשה, העיקרית מבחינת סכומה </w:t>
      </w:r>
      <w:r>
        <w:rPr>
          <w:rFonts w:ascii="Arial" w:hAnsi="Arial"/>
          <w:noProof w:val="0"/>
          <w:rtl/>
        </w:rPr>
        <w:t>–</w:t>
      </w:r>
      <w:r>
        <w:rPr>
          <w:rFonts w:ascii="Arial" w:hAnsi="Arial" w:hint="cs"/>
          <w:noProof w:val="0"/>
          <w:rtl/>
        </w:rPr>
        <w:t xml:space="preserve"> 4.5 מיליון ₪, היא הייתה מלווה גם על-ידי בנה, ב'. למשמעות הנובעת מכך אתייחס להלן במפורט. </w:t>
      </w:r>
    </w:p>
    <w:p w:rsidR="00FB4A98" w:rsidRDefault="00FB4A98" w:rsidP="00FB4A98">
      <w:pPr>
        <w:pStyle w:val="af1"/>
        <w:spacing w:line="360" w:lineRule="auto"/>
        <w:ind w:left="369"/>
        <w:jc w:val="both"/>
        <w:rPr>
          <w:rFonts w:ascii="Arial" w:hAnsi="Arial"/>
          <w:noProof w:val="0"/>
          <w:rtl/>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הנתבע טוען עוד להרחבת חזית, בעיקר ביחס לטענת "</w:t>
      </w:r>
      <w:r w:rsidRPr="002D48EF">
        <w:rPr>
          <w:rFonts w:ascii="Arial" w:hAnsi="Arial" w:hint="cs"/>
          <w:b/>
          <w:bCs/>
          <w:noProof w:val="0"/>
          <w:rtl/>
        </w:rPr>
        <w:t>לא נעשה דבר</w:t>
      </w:r>
      <w:r>
        <w:rPr>
          <w:rFonts w:ascii="Arial" w:hAnsi="Arial" w:hint="cs"/>
          <w:noProof w:val="0"/>
          <w:rtl/>
        </w:rPr>
        <w:t xml:space="preserve">" שלא נטענה לדידו בכתב התביעה, וכן נטען לחוסר מעמדו של התובע בכל הקשור לסעדים הנתבעים בתביעה.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הנתבע מעלה עוד שאלה בדבר כשרותה של התובעת להגיש תביעה זו, לאור מצבה הקוגניטיבי הנטען, כאשר לא מונה לה אפוטרופוס לדין או לרכוש. </w:t>
      </w:r>
    </w:p>
    <w:p w:rsidR="00FB4A98" w:rsidRDefault="00FB4A98" w:rsidP="00FB4A98">
      <w:pPr>
        <w:spacing w:line="360" w:lineRule="auto"/>
        <w:jc w:val="both"/>
        <w:rPr>
          <w:rFonts w:ascii="Arial" w:hAnsi="Arial"/>
          <w:noProof w:val="0"/>
          <w:rtl/>
        </w:rPr>
      </w:pPr>
    </w:p>
    <w:p w:rsidR="00FB4A98" w:rsidRPr="002D48EF" w:rsidRDefault="00FB4A98" w:rsidP="00FB4A98">
      <w:pPr>
        <w:spacing w:line="360" w:lineRule="auto"/>
        <w:jc w:val="both"/>
        <w:rPr>
          <w:rFonts w:ascii="Arial" w:hAnsi="Arial"/>
          <w:b/>
          <w:bCs/>
          <w:noProof w:val="0"/>
          <w:u w:val="single"/>
        </w:rPr>
      </w:pPr>
      <w:r w:rsidRPr="002D48EF">
        <w:rPr>
          <w:rFonts w:ascii="Arial" w:hAnsi="Arial" w:hint="cs"/>
          <w:b/>
          <w:bCs/>
          <w:noProof w:val="0"/>
          <w:u w:val="single"/>
          <w:rtl/>
        </w:rPr>
        <w:lastRenderedPageBreak/>
        <w:t xml:space="preserve">הדיון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התובעת עצמה לא העידה ולא התייצבה לדיונים, מלבד ישיבת קדם משפט הראשונה שנערכה ביום 5.5.2020.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ב"כ התובעים נימק זאת במצבה הרפואי של התובעת שאינו מאפשר לה להעיד ולהתייצב לדיונים.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מטעם התובעים הוגשו תצהירי עדות ראשית ונחקרו העדים הבאים: התובע, שתצהירו הוגש תחילה בשפה העברית, תוך שצוין שהוא תורגם לו על-ידי בנו מ' לצרפתית, ומאוחר יותר הוגש גם תצהירו בשפה הצרפתית; הבן ב'; הבן מ'; בשלב מאוחר יותר הוגש תצהירו של מאור.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כן הוגשה חוות דעת של  ד"ר בת שבע פורת כץ, מומחית ברפואה פנימית וברפואה גריאטרית (להלן </w:t>
      </w:r>
      <w:r>
        <w:rPr>
          <w:rFonts w:ascii="Arial" w:hAnsi="Arial"/>
          <w:noProof w:val="0"/>
          <w:rtl/>
        </w:rPr>
        <w:t>–</w:t>
      </w:r>
      <w:r>
        <w:rPr>
          <w:rFonts w:ascii="Arial" w:hAnsi="Arial" w:hint="cs"/>
          <w:noProof w:val="0"/>
          <w:rtl/>
        </w:rPr>
        <w:t xml:space="preserve"> "</w:t>
      </w:r>
      <w:r w:rsidRPr="005A7CDA">
        <w:rPr>
          <w:rFonts w:ascii="Arial" w:hAnsi="Arial" w:hint="cs"/>
          <w:b/>
          <w:bCs/>
          <w:noProof w:val="0"/>
          <w:rtl/>
        </w:rPr>
        <w:t>ד"ר פורת כץ</w:t>
      </w:r>
      <w:r>
        <w:rPr>
          <w:rFonts w:ascii="Arial" w:hAnsi="Arial" w:hint="cs"/>
          <w:noProof w:val="0"/>
          <w:rtl/>
        </w:rPr>
        <w:t>") וחוות דעת של דוד אֶברון, מנכ"ל חברת מ.א בקרה וניהול בע"מ, "</w:t>
      </w:r>
      <w:r w:rsidRPr="005A7CDA">
        <w:rPr>
          <w:rFonts w:ascii="Arial" w:hAnsi="Arial" w:hint="cs"/>
          <w:b/>
          <w:bCs/>
          <w:noProof w:val="0"/>
          <w:rtl/>
        </w:rPr>
        <w:t>העוסקת בניתוח ושיחזור של חשבונות בנק ובייעוץ פיננסי</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5A7CDA">
        <w:rPr>
          <w:rFonts w:ascii="Arial" w:hAnsi="Arial" w:hint="cs"/>
          <w:b/>
          <w:bCs/>
          <w:noProof w:val="0"/>
          <w:rtl/>
        </w:rPr>
        <w:t>אברון</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גם שניהם נחקרו.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מטעם הנתבעים הוגשו והעידו העדים הבאים: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גלנץ, שהייתה בשנת 2018 רפרנטית אשראי במחלקת בנקאית עסקית בסניף, ומתוקף כך הייתה מופקדת על חשבונות החַבַרות. הערבות השלישית נחתמה בפניה;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אודיה מיכאל (לשעבר אודיה כהן, להלן </w:t>
      </w:r>
      <w:r>
        <w:rPr>
          <w:rFonts w:ascii="Arial" w:hAnsi="Arial"/>
          <w:noProof w:val="0"/>
          <w:rtl/>
        </w:rPr>
        <w:t>–</w:t>
      </w:r>
      <w:r>
        <w:rPr>
          <w:rFonts w:ascii="Arial" w:hAnsi="Arial" w:hint="cs"/>
          <w:noProof w:val="0"/>
          <w:rtl/>
        </w:rPr>
        <w:t xml:space="preserve"> "</w:t>
      </w:r>
      <w:r w:rsidRPr="008C2E00">
        <w:rPr>
          <w:rFonts w:ascii="Arial" w:hAnsi="Arial" w:hint="cs"/>
          <w:b/>
          <w:bCs/>
          <w:noProof w:val="0"/>
          <w:rtl/>
        </w:rPr>
        <w:t>אודיה</w:t>
      </w:r>
      <w:r>
        <w:rPr>
          <w:rFonts w:ascii="Arial" w:hAnsi="Arial" w:hint="cs"/>
          <w:noProof w:val="0"/>
          <w:rtl/>
        </w:rPr>
        <w:t xml:space="preserve">"), שעבדה בתקופה הנדונה כפקידה במחלקת בנקאות אישית בסניף, ובפניה נפתח חשבון התובעת ונחתמו המסמכים הקשורים לכך; שרון סימוני (להלן </w:t>
      </w:r>
      <w:r>
        <w:rPr>
          <w:rFonts w:ascii="Arial" w:hAnsi="Arial"/>
          <w:noProof w:val="0"/>
          <w:rtl/>
        </w:rPr>
        <w:t>–</w:t>
      </w:r>
      <w:r>
        <w:rPr>
          <w:rFonts w:ascii="Arial" w:hAnsi="Arial" w:hint="cs"/>
          <w:noProof w:val="0"/>
          <w:rtl/>
        </w:rPr>
        <w:t xml:space="preserve"> "</w:t>
      </w:r>
      <w:r w:rsidRPr="00EA29AC">
        <w:rPr>
          <w:rFonts w:ascii="Arial" w:hAnsi="Arial" w:hint="cs"/>
          <w:b/>
          <w:bCs/>
          <w:noProof w:val="0"/>
          <w:rtl/>
        </w:rPr>
        <w:t>סימוני</w:t>
      </w:r>
      <w:r>
        <w:rPr>
          <w:rFonts w:ascii="Arial" w:hAnsi="Arial" w:hint="cs"/>
          <w:noProof w:val="0"/>
          <w:rtl/>
        </w:rPr>
        <w:t xml:space="preserve">"), שעבדה בשנת 2018 כפקידה בסניף ירושלים ובפניה נחתמה הערבות הראשונה; משה גליקמן (להלן </w:t>
      </w:r>
      <w:r>
        <w:rPr>
          <w:rFonts w:ascii="Arial" w:hAnsi="Arial"/>
          <w:noProof w:val="0"/>
          <w:rtl/>
        </w:rPr>
        <w:t>–</w:t>
      </w:r>
      <w:r>
        <w:rPr>
          <w:rFonts w:ascii="Arial" w:hAnsi="Arial" w:hint="cs"/>
          <w:noProof w:val="0"/>
          <w:rtl/>
        </w:rPr>
        <w:t xml:space="preserve"> "</w:t>
      </w:r>
      <w:r w:rsidRPr="00EA29AC">
        <w:rPr>
          <w:rFonts w:ascii="Arial" w:hAnsi="Arial" w:hint="cs"/>
          <w:b/>
          <w:bCs/>
          <w:noProof w:val="0"/>
          <w:rtl/>
        </w:rPr>
        <w:t>גליקמן</w:t>
      </w:r>
      <w:r>
        <w:rPr>
          <w:rFonts w:ascii="Arial" w:hAnsi="Arial" w:hint="cs"/>
          <w:noProof w:val="0"/>
          <w:rtl/>
        </w:rPr>
        <w:t xml:space="preserve">") שעבד בשנת 2018 כפקיד בסניף ירושלים ובפניו נחתמו שתי הערבויות השניות; שמואל נגאוקר (להלן </w:t>
      </w:r>
      <w:r>
        <w:rPr>
          <w:rFonts w:ascii="Arial" w:hAnsi="Arial"/>
          <w:noProof w:val="0"/>
          <w:rtl/>
        </w:rPr>
        <w:t>–</w:t>
      </w:r>
      <w:r>
        <w:rPr>
          <w:rFonts w:ascii="Arial" w:hAnsi="Arial" w:hint="cs"/>
          <w:noProof w:val="0"/>
          <w:rtl/>
        </w:rPr>
        <w:t xml:space="preserve"> "</w:t>
      </w:r>
      <w:r w:rsidRPr="00EA29AC">
        <w:rPr>
          <w:rFonts w:ascii="Arial" w:hAnsi="Arial" w:hint="cs"/>
          <w:b/>
          <w:bCs/>
          <w:noProof w:val="0"/>
          <w:rtl/>
        </w:rPr>
        <w:t>נגאוקר</w:t>
      </w:r>
      <w:r>
        <w:rPr>
          <w:rFonts w:ascii="Arial" w:hAnsi="Arial" w:hint="cs"/>
          <w:noProof w:val="0"/>
          <w:rtl/>
        </w:rPr>
        <w:t xml:space="preserve">"), ששימש בתקופה הנדונה כיועץ השקעות במרכז ההשקעות של הנתבע וטיפל מתוקף כך בהשקעות שנעשו בחשבונה של התובעת; בשלב מאוחר יותר הוגש גם תצהירו של ליאור בכר (להלן </w:t>
      </w:r>
      <w:r>
        <w:rPr>
          <w:rFonts w:ascii="Arial" w:hAnsi="Arial"/>
          <w:noProof w:val="0"/>
          <w:rtl/>
        </w:rPr>
        <w:t>–</w:t>
      </w:r>
      <w:r>
        <w:rPr>
          <w:rFonts w:ascii="Arial" w:hAnsi="Arial" w:hint="cs"/>
          <w:noProof w:val="0"/>
          <w:rtl/>
        </w:rPr>
        <w:t xml:space="preserve"> "</w:t>
      </w:r>
      <w:r w:rsidRPr="00EA29AC">
        <w:rPr>
          <w:rFonts w:ascii="Arial" w:hAnsi="Arial" w:hint="cs"/>
          <w:b/>
          <w:bCs/>
          <w:noProof w:val="0"/>
          <w:rtl/>
        </w:rPr>
        <w:t>בכר</w:t>
      </w:r>
      <w:r>
        <w:rPr>
          <w:rFonts w:ascii="Arial" w:hAnsi="Arial" w:hint="cs"/>
          <w:noProof w:val="0"/>
          <w:rtl/>
        </w:rPr>
        <w:t xml:space="preserve">"), ששימש בשנת 2018 כמנהל מחלקה עסקית בסניף.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כן הוגשה חוות דעתו של פרופ' פניג שמואל (להלן </w:t>
      </w:r>
      <w:r>
        <w:rPr>
          <w:rFonts w:ascii="Arial" w:hAnsi="Arial"/>
          <w:noProof w:val="0"/>
          <w:rtl/>
        </w:rPr>
        <w:t>–</w:t>
      </w:r>
      <w:r>
        <w:rPr>
          <w:rFonts w:ascii="Arial" w:hAnsi="Arial" w:hint="cs"/>
          <w:noProof w:val="0"/>
          <w:rtl/>
        </w:rPr>
        <w:t xml:space="preserve"> "</w:t>
      </w:r>
      <w:r w:rsidRPr="00EA29AC">
        <w:rPr>
          <w:rFonts w:ascii="Arial" w:hAnsi="Arial" w:hint="cs"/>
          <w:b/>
          <w:bCs/>
          <w:noProof w:val="0"/>
          <w:rtl/>
        </w:rPr>
        <w:t>פרופ'</w:t>
      </w:r>
      <w:r>
        <w:rPr>
          <w:rFonts w:ascii="Arial" w:hAnsi="Arial" w:hint="cs"/>
          <w:noProof w:val="0"/>
          <w:rtl/>
        </w:rPr>
        <w:t xml:space="preserve"> </w:t>
      </w:r>
      <w:r w:rsidRPr="00EA29AC">
        <w:rPr>
          <w:rFonts w:ascii="Arial" w:hAnsi="Arial" w:hint="cs"/>
          <w:b/>
          <w:bCs/>
          <w:noProof w:val="0"/>
          <w:rtl/>
        </w:rPr>
        <w:t>פניג</w:t>
      </w:r>
      <w:r>
        <w:rPr>
          <w:rFonts w:ascii="Arial" w:hAnsi="Arial" w:hint="cs"/>
          <w:noProof w:val="0"/>
          <w:rtl/>
        </w:rPr>
        <w:t xml:space="preserve">"), מומחה לפסיכיאטריה.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טרם שמיעת ההוכחות, הצדדים היו בהליך גישור, שארך חודשים אחדים, אך לא צלח.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בתום ההוכחות הצעתי הצעת פשרה שלא התקבלה על-ידי אחד הצדדים.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לאחר מכן הגישו הצדדים את סיכומיהם בכתב.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התנצלותי (החוזרת) בפני הצדדים על העיכוב במתן פסק הדין, שנגרם בשל עומס עבודה רב במיוחד. </w:t>
      </w:r>
    </w:p>
    <w:p w:rsidR="00FB4A98" w:rsidRDefault="00FB4A98" w:rsidP="00FB4A98">
      <w:pPr>
        <w:spacing w:line="360" w:lineRule="auto"/>
        <w:jc w:val="both"/>
        <w:rPr>
          <w:rFonts w:ascii="Arial" w:hAnsi="Arial"/>
          <w:noProof w:val="0"/>
          <w:rtl/>
        </w:rPr>
      </w:pPr>
    </w:p>
    <w:p w:rsidR="00FB4A98" w:rsidRPr="00525344" w:rsidRDefault="00FB4A98" w:rsidP="00FB4A98">
      <w:pPr>
        <w:spacing w:line="360" w:lineRule="auto"/>
        <w:jc w:val="both"/>
        <w:rPr>
          <w:rFonts w:ascii="Arial" w:hAnsi="Arial"/>
          <w:b/>
          <w:bCs/>
          <w:noProof w:val="0"/>
          <w:u w:val="single"/>
        </w:rPr>
      </w:pPr>
      <w:r w:rsidRPr="00525344">
        <w:rPr>
          <w:rFonts w:ascii="Arial" w:hAnsi="Arial" w:hint="cs"/>
          <w:b/>
          <w:bCs/>
          <w:noProof w:val="0"/>
          <w:u w:val="single"/>
          <w:rtl/>
        </w:rPr>
        <w:t>דיון והכרעה</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כפי שציינתי קודם לכן, טענות התובעים חסרות מיקוד ומקצתן סותרות זו את זו. גם לאחר מקרא סיכומי התובעים לא ירדתי לסוף דעתם . האם טענתם "לא נעשה דבר" מתייחסת לעצם הסכמתה של התובעת למתן הערבות לחַבַרות, או כפי שנאמר במקום אחר שהטענה היא לא לעצם מתן הערבות אלא להיקפה או לפרטים אחרים שלה? אם התובעת לא הסכימה לעצם מתן הערבות </w:t>
      </w:r>
      <w:r>
        <w:rPr>
          <w:rFonts w:ascii="Arial" w:hAnsi="Arial"/>
          <w:noProof w:val="0"/>
          <w:rtl/>
        </w:rPr>
        <w:t>–</w:t>
      </w:r>
      <w:r>
        <w:rPr>
          <w:rFonts w:ascii="Arial" w:hAnsi="Arial" w:hint="cs"/>
          <w:noProof w:val="0"/>
          <w:rtl/>
        </w:rPr>
        <w:t xml:space="preserve"> האם גם התובע לא הבין שהיא חותמת על הערבות? אם התובעת הסכימה למתן הערבות אך לא להיקפה </w:t>
      </w:r>
      <w:r>
        <w:rPr>
          <w:rFonts w:ascii="Arial" w:hAnsi="Arial"/>
          <w:noProof w:val="0"/>
          <w:rtl/>
        </w:rPr>
        <w:t>–</w:t>
      </w:r>
      <w:r>
        <w:rPr>
          <w:rFonts w:ascii="Arial" w:hAnsi="Arial" w:hint="cs"/>
          <w:noProof w:val="0"/>
          <w:rtl/>
        </w:rPr>
        <w:t xml:space="preserve"> מדוע הם תובעים את החזר מלוא הכספים שמומשו?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האם התובע, שליווה את התובעת בכל החתימות, ידע על מצבה הקוגניטיבי הנטען בעת חתימתה על הערבויות? אם כן </w:t>
      </w:r>
      <w:r>
        <w:rPr>
          <w:rFonts w:ascii="Arial" w:hAnsi="Arial"/>
          <w:noProof w:val="0"/>
          <w:rtl/>
        </w:rPr>
        <w:t>–</w:t>
      </w:r>
      <w:r>
        <w:rPr>
          <w:rFonts w:ascii="Arial" w:hAnsi="Arial" w:hint="cs"/>
          <w:noProof w:val="0"/>
          <w:rtl/>
        </w:rPr>
        <w:t xml:space="preserve"> מדוע הוא אפשר את החתימות ? האם בנה ב' ידע על מצבה הקוגניטיבי הנטען של אמו בעת חתימתה על הערבויות? אם כן </w:t>
      </w:r>
      <w:r>
        <w:rPr>
          <w:rFonts w:ascii="Arial" w:hAnsi="Arial"/>
          <w:noProof w:val="0"/>
          <w:rtl/>
        </w:rPr>
        <w:t>–</w:t>
      </w:r>
      <w:r>
        <w:rPr>
          <w:rFonts w:ascii="Arial" w:hAnsi="Arial" w:hint="cs"/>
          <w:noProof w:val="0"/>
          <w:rtl/>
        </w:rPr>
        <w:t xml:space="preserve"> מדוע הוא אפשר את החתימות ומדוע הוא ביקש ממנה ומאביו התובע ללכת ולחתום על הערבויות?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אם התובע עשה כן במודע למען בנו </w:t>
      </w:r>
      <w:r>
        <w:rPr>
          <w:rFonts w:ascii="Arial" w:hAnsi="Arial"/>
          <w:noProof w:val="0"/>
          <w:rtl/>
        </w:rPr>
        <w:t>–</w:t>
      </w:r>
      <w:r>
        <w:rPr>
          <w:rFonts w:ascii="Arial" w:hAnsi="Arial" w:hint="cs"/>
          <w:noProof w:val="0"/>
          <w:rtl/>
        </w:rPr>
        <w:t xml:space="preserve"> כיצד הוא ניצב בצד התובעים ולא בצד הנתבעים? אם ב' היה מודע לכך ו"ניצל" את מצבה של אמו לטובתו, מדוע התביעה לא מוגשת גם נגדו וכיצד הוא יכול להעיד לטובת אמו? ואם שניהם לא ידעו על מצבה הנטען של התובעת </w:t>
      </w:r>
      <w:r>
        <w:rPr>
          <w:rFonts w:ascii="Arial" w:hAnsi="Arial"/>
          <w:noProof w:val="0"/>
          <w:rtl/>
        </w:rPr>
        <w:t>–</w:t>
      </w:r>
      <w:r>
        <w:rPr>
          <w:rFonts w:ascii="Arial" w:hAnsi="Arial" w:hint="cs"/>
          <w:noProof w:val="0"/>
          <w:rtl/>
        </w:rPr>
        <w:t xml:space="preserve"> כיצד הם ציפו שהנתבע יידע על כך וכיצד הנתבע "ניצל" את מצבה, אם התובע וב' לא עדכנו את הנתבע עליו?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השאלות הללו קשורות גם לעצם הגשת התביעה, שכן, אם התובעת הייתה כבר במצב דמנציה בעת הגשת התביעה, כך טענת התובעים, כיצד היא הייתה כשירה ליַיפות את כוחם של עורכי הדין שהגישו מטעמה (ומטעם התובע) את התביעה? האם היא מודעת לניהול התביעה בשמה? ואם התביעה הוגשה שלא בידיעתה ובהסכמתה </w:t>
      </w:r>
      <w:r>
        <w:rPr>
          <w:rFonts w:ascii="Arial" w:hAnsi="Arial"/>
          <w:noProof w:val="0"/>
          <w:rtl/>
        </w:rPr>
        <w:t>–</w:t>
      </w:r>
      <w:r>
        <w:rPr>
          <w:rFonts w:ascii="Arial" w:hAnsi="Arial" w:hint="cs"/>
          <w:noProof w:val="0"/>
          <w:rtl/>
        </w:rPr>
        <w:t xml:space="preserve"> בשם מי ולמען מי פועלים, למעשה, התובע וב'?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מאחר שלא מצאתי מענה ראוי לכל השאלות הללו בכתבי התובעים, אעשה מאמץ, ככל האפשר, להגיע לחקר האמת בהתאם לראיות שהוצגו. </w:t>
      </w:r>
    </w:p>
    <w:p w:rsidR="00FB4A98" w:rsidRDefault="00FB4A98" w:rsidP="00FB4A98">
      <w:pPr>
        <w:spacing w:line="360" w:lineRule="auto"/>
        <w:ind w:left="9"/>
        <w:jc w:val="both"/>
        <w:rPr>
          <w:rFonts w:ascii="Arial" w:hAnsi="Arial"/>
          <w:noProof w:val="0"/>
          <w:rtl/>
        </w:rPr>
      </w:pPr>
    </w:p>
    <w:p w:rsidR="00FB4A98" w:rsidRPr="005470B9" w:rsidRDefault="00FB4A98" w:rsidP="00FB4A98">
      <w:pPr>
        <w:spacing w:line="360" w:lineRule="auto"/>
        <w:ind w:left="9"/>
        <w:jc w:val="both"/>
        <w:rPr>
          <w:rFonts w:ascii="Arial" w:hAnsi="Arial"/>
          <w:b/>
          <w:bCs/>
          <w:noProof w:val="0"/>
          <w:u w:val="single"/>
        </w:rPr>
      </w:pPr>
      <w:r w:rsidRPr="005470B9">
        <w:rPr>
          <w:rFonts w:ascii="Arial" w:hAnsi="Arial" w:hint="cs"/>
          <w:b/>
          <w:bCs/>
          <w:noProof w:val="0"/>
          <w:u w:val="single"/>
          <w:rtl/>
        </w:rPr>
        <w:t>"לא נעשה דבר"?</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הנתבע טוען כי טענה זו מהווה הרחבת חזית, מאחר שהיא לא נטענה בכתב התביעה והועלתה לראשונה בסיכומי התובעים.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אני מסכים עם הנתבע שטענת "לא נעשה דבר" לא הועלתה בצורה מפורשת בכתב התביעה, והיא נטענה במפורש רק בסיכומי התובעים, אך היסודות להקמת הטענה הונחו בכתב התביעה, כך למשל בסעיף 1, שבו נכתב שהתובעת "</w:t>
      </w:r>
      <w:r w:rsidRPr="005470B9">
        <w:rPr>
          <w:rFonts w:ascii="Arial" w:hAnsi="Arial" w:hint="cs"/>
          <w:b/>
          <w:bCs/>
          <w:noProof w:val="0"/>
          <w:rtl/>
        </w:rPr>
        <w:t>הוחתמה על-ידי הבנק, כאשר היא אינה מבינה דבר או חצי דבר לעניין משמעות חתימותיה</w:t>
      </w:r>
      <w:r>
        <w:rPr>
          <w:rFonts w:ascii="Arial" w:hAnsi="Arial" w:hint="cs"/>
          <w:noProof w:val="0"/>
          <w:rtl/>
        </w:rPr>
        <w:t xml:space="preserve">", וטענה זו הורחבה בתצהירי העדות הראשית של </w:t>
      </w:r>
      <w:r>
        <w:rPr>
          <w:rFonts w:ascii="Arial" w:hAnsi="Arial" w:hint="cs"/>
          <w:noProof w:val="0"/>
          <w:rtl/>
        </w:rPr>
        <w:lastRenderedPageBreak/>
        <w:t>התובעים, ובעיקר בחוות דעתה של ד"ר פורת כץ, שעוד ידובר בה, שהסיקה שהתובעת "</w:t>
      </w:r>
      <w:r w:rsidRPr="005470B9">
        <w:rPr>
          <w:rFonts w:ascii="Arial" w:hAnsi="Arial" w:hint="cs"/>
          <w:b/>
          <w:bCs/>
          <w:noProof w:val="0"/>
          <w:rtl/>
        </w:rPr>
        <w:t>לא הייתה יכולה להבין את משמעות כתבי הערבות עליהם חתמה בשנת 2018</w:t>
      </w:r>
      <w:r>
        <w:rPr>
          <w:rFonts w:ascii="Arial" w:hAnsi="Arial" w:hint="cs"/>
          <w:noProof w:val="0"/>
          <w:rtl/>
        </w:rPr>
        <w:t xml:space="preserve">" (סוף פסקה שנייה בסעיף 1), בלי שהנתבע התנגד אז להרחבת חזית.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לפיכך אדון בטענה זו לגופה.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936" w:right="567" w:hanging="993"/>
        <w:jc w:val="both"/>
        <w:rPr>
          <w:rFonts w:ascii="Arial" w:hAnsi="Arial"/>
          <w:noProof w:val="0"/>
        </w:rPr>
      </w:pPr>
      <w:r>
        <w:rPr>
          <w:rFonts w:ascii="Arial" w:hAnsi="Arial" w:hint="cs"/>
          <w:noProof w:val="0"/>
          <w:rtl/>
        </w:rPr>
        <w:t>"</w:t>
      </w:r>
      <w:r w:rsidRPr="0063394C">
        <w:rPr>
          <w:rFonts w:ascii="Arial" w:hAnsi="Arial" w:hint="cs"/>
          <w:b/>
          <w:bCs/>
          <w:noProof w:val="0"/>
          <w:rtl/>
        </w:rPr>
        <w:t xml:space="preserve">טענת "לא נעשה דבר" מתייחסת למצב בו הונע החותם לחשוב כי המסמך הוא בעל מהות בסיסית שונה ממה שהוא לאמיתו של דבר, טענה זו לא תתקבל מקום בו החתימה היא על מסמך הנוגע לעסקה מאותו סוג שהחותם חפץ בה, כאשר </w:t>
      </w:r>
      <w:r>
        <w:rPr>
          <w:rFonts w:ascii="Arial" w:hAnsi="Arial" w:hint="cs"/>
          <w:b/>
          <w:bCs/>
          <w:noProof w:val="0"/>
          <w:rtl/>
        </w:rPr>
        <w:t>החותם טעה או הוטעה לגבי פרטי הע</w:t>
      </w:r>
      <w:r w:rsidRPr="0063394C">
        <w:rPr>
          <w:rFonts w:ascii="Arial" w:hAnsi="Arial" w:hint="cs"/>
          <w:b/>
          <w:bCs/>
          <w:noProof w:val="0"/>
          <w:rtl/>
        </w:rPr>
        <w:t>סקה שאינם תואמים את העסקה שהוא דימה לעשותה</w:t>
      </w:r>
      <w:r>
        <w:rPr>
          <w:rFonts w:ascii="Arial" w:hAnsi="Arial" w:hint="cs"/>
          <w:noProof w:val="0"/>
          <w:rtl/>
        </w:rPr>
        <w:t xml:space="preserve">" (ע"א 2731/07 </w:t>
      </w:r>
      <w:r w:rsidRPr="001D7E00">
        <w:rPr>
          <w:rFonts w:ascii="Arial" w:hAnsi="Arial" w:hint="cs"/>
          <w:b/>
          <w:bCs/>
          <w:noProof w:val="0"/>
          <w:rtl/>
        </w:rPr>
        <w:t>חמוד נ' חאג',</w:t>
      </w:r>
      <w:r>
        <w:rPr>
          <w:rFonts w:ascii="Arial" w:hAnsi="Arial" w:hint="cs"/>
          <w:noProof w:val="0"/>
          <w:rtl/>
        </w:rPr>
        <w:t xml:space="preserve"> 29.3.2009, פסקה 35). </w:t>
      </w:r>
    </w:p>
    <w:p w:rsidR="00FB4A98" w:rsidRDefault="00FB4A98" w:rsidP="00FB4A98">
      <w:pPr>
        <w:pStyle w:val="af1"/>
        <w:spacing w:line="360" w:lineRule="auto"/>
        <w:ind w:left="936" w:right="567"/>
        <w:jc w:val="both"/>
        <w:rPr>
          <w:rFonts w:ascii="Arial" w:hAnsi="Arial"/>
          <w:noProof w:val="0"/>
        </w:rPr>
      </w:pP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אציג שוב את השאלה שהעליתי בפתח פרק הדיון, האם התובעים טוענים שהתובעת לא התכוונה לחתום כלל ערבות לחַבַרות הקשורות לבנה ב', או שהיא הוטעתה רק בפרטים הקשורים לאותן ערבויות, ובראשן סכומיהן?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כתב התביעה ותצהירי התובעים נוטים יותר לאפשרות השנייה. בשום מקום לא נכתב במפורש כי התובעת לא התכוונה כלל לחתום על ערבות, והטענות שפורטו קשורות לאי-מתן הסבר בדבר פרטי הערבויות. אדרבא, בסעיף 21 לכתב התביעה נכתב כי מאור הציע שהתובעים יחתמו כערבים לחַבַרות ובסעיף 23 נכתב כי ב' פנה להוריו "</w:t>
      </w:r>
      <w:r w:rsidRPr="00CB607F">
        <w:rPr>
          <w:rFonts w:ascii="Arial" w:hAnsi="Arial" w:hint="cs"/>
          <w:b/>
          <w:bCs/>
          <w:noProof w:val="0"/>
          <w:rtl/>
        </w:rPr>
        <w:t>והם נענו לו לאור רצונם לסייע בידו כי הם יהיו מוכנים לחתום לו על ערבות מוגבלת</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יתר על כן, גם ביחס להחתמה על הערבויות השניות וגם ביחס להחתמה על הערבות השלישית, נכתב שהתובעים התבקשו לסור לסניפי הנתבע (בירושלים ובבני ברק, בהתאמה) כדי לשוב ולחתום על "אותה ערבות", משום שהחתימה הקודמת לא הייתה תקינה (סעיף 58 ביחס לערבויות השניות וסעיף 71 ביחס לערבות השלישית), והם אכן הגיעו כדי לחתום "שוב" על "אותה ערבות", משמע התובעים הבינו היטב כי התובעת חותמת על מסמכי ערבות ולא התנגדו לכך. </w:t>
      </w:r>
    </w:p>
    <w:p w:rsidR="00FB4A98" w:rsidRDefault="00FB4A98" w:rsidP="00FB4A98">
      <w:pPr>
        <w:pStyle w:val="af1"/>
        <w:spacing w:line="360" w:lineRule="auto"/>
        <w:ind w:left="369"/>
        <w:jc w:val="both"/>
        <w:rPr>
          <w:rFonts w:ascii="Arial" w:hAnsi="Arial"/>
          <w:noProof w:val="0"/>
        </w:rPr>
      </w:pPr>
      <w:r>
        <w:rPr>
          <w:rFonts w:ascii="Arial" w:hAnsi="Arial" w:hint="cs"/>
          <w:noProof w:val="0"/>
          <w:rtl/>
        </w:rPr>
        <w:t xml:space="preserve">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גם עדויותיהם של התובע וב' בבית המשפט תומכות בכך שהתובעים היו מודעים היטב למטרת הגעתם לסניפי הנתבע, לצורך חתימה על ערבות לחַבַרות הקשורות לבנם.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התובע אישר בחקירתו (פרו' מיום 13.3.2022, עמ' 34), כי ב' ביקש מהם שילכו לבנק כדי לחתום על הערבויות, והם אכן הלכו לבנק כדי לחתום עליהן, אלא שהוא חשב שהערבות היא על מיליון ₪. </w:t>
      </w:r>
    </w:p>
    <w:p w:rsidR="00FB4A98" w:rsidRPr="00563FF5"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ב' השיב לשאלת בית-המשפט (פרוטוקול מיום 27.2.22, עמ' 114), כי הוא הבין שהתובעים הולכים לבנק כדי לחתום על ערבות והוסיף: "</w:t>
      </w:r>
      <w:r w:rsidRPr="00563FF5">
        <w:rPr>
          <w:rFonts w:ascii="Arial" w:hAnsi="Arial" w:hint="cs"/>
          <w:b/>
          <w:bCs/>
          <w:noProof w:val="0"/>
          <w:rtl/>
        </w:rPr>
        <w:t>א</w:t>
      </w:r>
      <w:r>
        <w:rPr>
          <w:rFonts w:ascii="Arial" w:hAnsi="Arial" w:hint="cs"/>
          <w:b/>
          <w:bCs/>
          <w:noProof w:val="0"/>
          <w:rtl/>
        </w:rPr>
        <w:t>ני לא מתלונן שהם חתמו... אני מתלו</w:t>
      </w:r>
      <w:r w:rsidRPr="00563FF5">
        <w:rPr>
          <w:rFonts w:ascii="Arial" w:hAnsi="Arial" w:hint="cs"/>
          <w:b/>
          <w:bCs/>
          <w:noProof w:val="0"/>
          <w:rtl/>
        </w:rPr>
        <w:t>נן על מה שקבענו</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אם התובעים, לאור כל האמור לעיל, אינם טוענים "לא נעשה דבר" ביחס לעצם החתימה על הערבויות, אלא בקשר לתוכנן (ובכך אדון בהמשך), הרי שדי בכך כדי לדחות טענה זו ביחס לבטלות מוחלטת של הערבויות, אך למרות זאת אדון ביתר הטענות שעלו בקשר לכך. </w:t>
      </w:r>
    </w:p>
    <w:p w:rsidR="00FB4A98" w:rsidRDefault="00FB4A98" w:rsidP="00FB4A98">
      <w:pPr>
        <w:spacing w:line="360" w:lineRule="auto"/>
        <w:ind w:left="9"/>
        <w:jc w:val="both"/>
        <w:rPr>
          <w:rFonts w:ascii="Arial" w:hAnsi="Arial"/>
          <w:noProof w:val="0"/>
          <w:rtl/>
        </w:rPr>
      </w:pPr>
    </w:p>
    <w:p w:rsidR="00FB4A98" w:rsidRDefault="00FB4A98" w:rsidP="00FB4A98">
      <w:pPr>
        <w:spacing w:line="360" w:lineRule="auto"/>
        <w:ind w:left="9"/>
        <w:jc w:val="both"/>
        <w:rPr>
          <w:rFonts w:ascii="Arial" w:hAnsi="Arial"/>
          <w:b/>
          <w:bCs/>
          <w:noProof w:val="0"/>
          <w:u w:val="single"/>
          <w:rtl/>
        </w:rPr>
      </w:pPr>
    </w:p>
    <w:p w:rsidR="00FB4A98" w:rsidRDefault="00FB4A98" w:rsidP="00FB4A98">
      <w:pPr>
        <w:spacing w:line="360" w:lineRule="auto"/>
        <w:ind w:left="9"/>
        <w:jc w:val="both"/>
        <w:rPr>
          <w:rFonts w:ascii="Arial" w:hAnsi="Arial"/>
          <w:b/>
          <w:bCs/>
          <w:noProof w:val="0"/>
          <w:u w:val="single"/>
          <w:rtl/>
        </w:rPr>
      </w:pPr>
    </w:p>
    <w:p w:rsidR="00FB4A98" w:rsidRDefault="00FB4A98" w:rsidP="00FB4A98">
      <w:pPr>
        <w:spacing w:line="360" w:lineRule="auto"/>
        <w:ind w:left="9"/>
        <w:jc w:val="both"/>
        <w:rPr>
          <w:rFonts w:ascii="Arial" w:hAnsi="Arial"/>
          <w:b/>
          <w:bCs/>
          <w:noProof w:val="0"/>
          <w:u w:val="single"/>
          <w:rtl/>
        </w:rPr>
      </w:pPr>
    </w:p>
    <w:p w:rsidR="00FB4A98" w:rsidRDefault="00FB4A98" w:rsidP="00FB4A98">
      <w:pPr>
        <w:spacing w:line="360" w:lineRule="auto"/>
        <w:ind w:left="9"/>
        <w:jc w:val="both"/>
        <w:rPr>
          <w:rFonts w:ascii="Arial" w:hAnsi="Arial"/>
          <w:b/>
          <w:bCs/>
          <w:noProof w:val="0"/>
          <w:u w:val="single"/>
          <w:rtl/>
        </w:rPr>
      </w:pPr>
      <w:r w:rsidRPr="00563FF5">
        <w:rPr>
          <w:rFonts w:ascii="Arial" w:hAnsi="Arial" w:hint="cs"/>
          <w:b/>
          <w:bCs/>
          <w:noProof w:val="0"/>
          <w:u w:val="single"/>
          <w:rtl/>
        </w:rPr>
        <w:t>מצבה הקוגניטיבי של התובעת בעת החתימה על הערבויות</w:t>
      </w:r>
    </w:p>
    <w:p w:rsidR="00FB4A98" w:rsidRPr="00563FF5" w:rsidRDefault="00FB4A98" w:rsidP="00FB4A98">
      <w:pPr>
        <w:spacing w:line="360" w:lineRule="auto"/>
        <w:ind w:left="9"/>
        <w:jc w:val="both"/>
        <w:rPr>
          <w:rFonts w:ascii="Arial" w:hAnsi="Arial"/>
          <w:b/>
          <w:bCs/>
          <w:noProof w:val="0"/>
          <w:u w:val="single"/>
        </w:rPr>
      </w:pPr>
    </w:p>
    <w:p w:rsidR="00FB4A98" w:rsidRPr="001D7E00" w:rsidRDefault="00FB4A98" w:rsidP="00FB4A98">
      <w:pPr>
        <w:pStyle w:val="af1"/>
        <w:numPr>
          <w:ilvl w:val="0"/>
          <w:numId w:val="1"/>
        </w:numPr>
        <w:spacing w:line="360" w:lineRule="auto"/>
        <w:ind w:left="794" w:right="567" w:hanging="851"/>
        <w:jc w:val="both"/>
        <w:rPr>
          <w:rFonts w:ascii="Arial" w:hAnsi="Arial"/>
          <w:b/>
          <w:bCs/>
          <w:noProof w:val="0"/>
          <w:rtl/>
        </w:rPr>
      </w:pPr>
      <w:r>
        <w:rPr>
          <w:rFonts w:ascii="Arial" w:hAnsi="Arial" w:hint="cs"/>
          <w:b/>
          <w:bCs/>
          <w:noProof w:val="0"/>
          <w:rtl/>
        </w:rPr>
        <w:t>"</w:t>
      </w:r>
      <w:r w:rsidRPr="001D7E00">
        <w:rPr>
          <w:rFonts w:ascii="Arial" w:hAnsi="Arial"/>
          <w:b/>
          <w:bCs/>
          <w:noProof w:val="0"/>
          <w:rtl/>
        </w:rPr>
        <w:t>עקרון יסוד בדיני הכשרות המשפטית הוא כי כל אדם מוחזק כבעל כשרות משפטית לבצע פעולות משפטיות מרגע לידתו ועד מותו</w:t>
      </w:r>
      <w:r>
        <w:rPr>
          <w:rFonts w:ascii="Arial" w:hAnsi="Arial" w:hint="cs"/>
          <w:b/>
          <w:bCs/>
          <w:noProof w:val="0"/>
          <w:rtl/>
        </w:rPr>
        <w:t>,</w:t>
      </w:r>
      <w:r w:rsidRPr="001D7E00">
        <w:rPr>
          <w:rFonts w:ascii="Arial" w:hAnsi="Arial"/>
          <w:b/>
          <w:bCs/>
          <w:noProof w:val="0"/>
          <w:rtl/>
        </w:rPr>
        <w:t xml:space="preserve"> "...זולת אם נשללה או הוגבלה כשרות זו בחוק או בפסק דין של בית משפט" (הוראת סעיף 2 לחוק הכשרות המשפטית והאפוטרופסות, תשכ"ב-1962 (להלן – חוק הכשרות)). משום כך ההכרזה על אדם כפסול-דין היא קונסטיטוטיבית, לאמור תוקפה הוא מכאן ולעתיד (י' אנגלרד "חוק הכשרות המשפטית והאפוטרופסות, תשכ"ב-1962" פירוש לחוקי החוזים [7], בעמ' 151). ממילא אין להכרזה תחולה רטרואקטיבית, ואין היא גורעת מכשרותו המשפטית של אדם בעבר. כפי שציין אנגלרד שם [7] "...כל פעולותיו הקודמות תקפות, למרות האפשרות כי כל התנאים לפסילתו היו כבר קיימים בשעת עשייתן" (ראו גם: ע"א 682/88 עבדו נ' חורי [6]; ד' פרידמן, נ' כהן חוזים (כרך ב) [8], בעמ' 1014). </w:t>
      </w:r>
    </w:p>
    <w:p w:rsidR="00FB4A98" w:rsidRPr="001D7E00" w:rsidRDefault="00FB4A98" w:rsidP="00FB4A98">
      <w:pPr>
        <w:pStyle w:val="af1"/>
        <w:spacing w:line="360" w:lineRule="auto"/>
        <w:ind w:left="794" w:right="567"/>
        <w:jc w:val="both"/>
        <w:rPr>
          <w:rFonts w:ascii="Arial" w:hAnsi="Arial"/>
          <w:noProof w:val="0"/>
          <w:rtl/>
        </w:rPr>
      </w:pPr>
      <w:r w:rsidRPr="001D7E00">
        <w:rPr>
          <w:rFonts w:ascii="Arial" w:hAnsi="Arial"/>
          <w:b/>
          <w:bCs/>
          <w:noProof w:val="0"/>
          <w:rtl/>
        </w:rPr>
        <w:t>עם זאת יצוין כי חוק הכשרות אינו מוציא את תחולתן של הוראות חוק החוזים (חלק כללי), תשל"ג-1973, לכן ניתן במידת הצורך, להיזקק לעילות הבטלות הקבועות בחוק זה על-מנת לבטל פעולות משפטיות שעשה הלוקה בנפשו טרם שהוכרז כפסול-דין (אנגלרד בספרו הנ"ל [7], בעמ' 155-152, פרידמן וכהן בספרם הנ"ל [8], בעמ' 1015-1013)</w:t>
      </w:r>
      <w:r w:rsidRPr="001D7E00">
        <w:rPr>
          <w:rFonts w:ascii="Arial" w:hAnsi="Arial" w:hint="cs"/>
          <w:b/>
          <w:bCs/>
          <w:noProof w:val="0"/>
          <w:rtl/>
        </w:rPr>
        <w:t>"</w:t>
      </w:r>
      <w:r>
        <w:rPr>
          <w:rFonts w:ascii="Arial" w:hAnsi="Arial" w:hint="cs"/>
          <w:b/>
          <w:bCs/>
          <w:noProof w:val="0"/>
          <w:rtl/>
        </w:rPr>
        <w:t>.</w:t>
      </w:r>
      <w:r w:rsidRPr="001D7E00">
        <w:rPr>
          <w:rFonts w:ascii="Arial" w:hAnsi="Arial" w:hint="cs"/>
          <w:b/>
          <w:bCs/>
          <w:noProof w:val="0"/>
          <w:rtl/>
        </w:rPr>
        <w:t xml:space="preserve"> </w:t>
      </w:r>
      <w:r w:rsidRPr="001D7E00">
        <w:rPr>
          <w:rFonts w:ascii="Arial" w:hAnsi="Arial" w:hint="cs"/>
          <w:noProof w:val="0"/>
          <w:rtl/>
        </w:rPr>
        <w:t>(רע"א 3323/98</w:t>
      </w:r>
      <w:r>
        <w:rPr>
          <w:rFonts w:ascii="Arial" w:hAnsi="Arial" w:hint="cs"/>
          <w:b/>
          <w:bCs/>
          <w:noProof w:val="0"/>
          <w:rtl/>
        </w:rPr>
        <w:t xml:space="preserve"> זקן נ' קצין התגמולים, </w:t>
      </w:r>
      <w:r w:rsidRPr="001D7E00">
        <w:rPr>
          <w:rFonts w:ascii="Arial" w:hAnsi="Arial" w:hint="cs"/>
          <w:noProof w:val="0"/>
          <w:rtl/>
        </w:rPr>
        <w:t>פ"ד נז(5) 577, 587-586</w:t>
      </w:r>
      <w:r>
        <w:rPr>
          <w:rFonts w:ascii="Arial" w:hAnsi="Arial" w:hint="cs"/>
          <w:noProof w:val="0"/>
          <w:rtl/>
        </w:rPr>
        <w:t xml:space="preserve">, 2003). </w:t>
      </w:r>
      <w:r w:rsidRPr="001D7E00">
        <w:rPr>
          <w:rFonts w:ascii="Arial" w:hAnsi="Arial" w:hint="cs"/>
          <w:noProof w:val="0"/>
          <w:rtl/>
        </w:rPr>
        <w:t xml:space="preserve"> </w:t>
      </w:r>
    </w:p>
    <w:p w:rsidR="00FB4A98" w:rsidRDefault="00FB4A98" w:rsidP="00FB4A98">
      <w:pPr>
        <w:pStyle w:val="af1"/>
        <w:spacing w:line="360" w:lineRule="auto"/>
        <w:ind w:left="794" w:right="567"/>
        <w:jc w:val="both"/>
        <w:rPr>
          <w:rFonts w:ascii="Arial" w:hAnsi="Arial"/>
          <w:b/>
          <w:bCs/>
          <w:noProof w:val="0"/>
          <w:rtl/>
        </w:rPr>
      </w:pPr>
    </w:p>
    <w:p w:rsidR="00FB4A98" w:rsidRDefault="00FB4A98" w:rsidP="00FB4A98">
      <w:pPr>
        <w:pStyle w:val="af1"/>
        <w:spacing w:line="360" w:lineRule="auto"/>
        <w:ind w:left="794" w:right="567"/>
        <w:jc w:val="both"/>
        <w:rPr>
          <w:rFonts w:ascii="Arial" w:hAnsi="Arial"/>
          <w:b/>
          <w:bCs/>
          <w:noProof w:val="0"/>
          <w:rtl/>
        </w:rPr>
      </w:pPr>
      <w:r>
        <w:rPr>
          <w:rFonts w:ascii="Arial" w:hAnsi="Arial" w:hint="cs"/>
          <w:b/>
          <w:bCs/>
          <w:noProof w:val="0"/>
          <w:rtl/>
        </w:rPr>
        <w:t>"</w:t>
      </w:r>
      <w:r w:rsidRPr="00D74CEB">
        <w:rPr>
          <w:b/>
          <w:bCs/>
          <w:rtl/>
        </w:rPr>
        <w:t xml:space="preserve">פתרונות למקרים של עסקאות שנעשו "טרם יוכרז אדם פסול דין" יימצאו אפוא במסגרת דיני החוזים (ד' פרידמן, נ' כהן, חוזים (כרך ב' תשנ"ג)1015). ספקטרום </w:t>
      </w:r>
      <w:r w:rsidRPr="00D74CEB">
        <w:rPr>
          <w:b/>
          <w:bCs/>
          <w:rtl/>
        </w:rPr>
        <w:lastRenderedPageBreak/>
        <w:t>הפתרונות שמציעים דיני החוזים רחב: החל מטענה כי אף שהמצב ההכרתי אינו כה חמור כשלעצמו - הוא נוצל על ידי הצד שכנגד; ועד למקרים בהם המצב ההכרתי כה חמו</w:t>
      </w:r>
      <w:r>
        <w:rPr>
          <w:b/>
          <w:bCs/>
          <w:rtl/>
        </w:rPr>
        <w:t>ר, עד שתתקבל טענת "לא נעשה דבר"</w:t>
      </w:r>
      <w:r>
        <w:rPr>
          <w:szCs w:val="26"/>
          <w:rtl/>
        </w:rPr>
        <w:t>".</w:t>
      </w:r>
      <w:r>
        <w:rPr>
          <w:rFonts w:ascii="Arial" w:hAnsi="Arial" w:hint="cs"/>
          <w:b/>
          <w:bCs/>
          <w:noProof w:val="0"/>
          <w:rtl/>
        </w:rPr>
        <w:t xml:space="preserve"> </w:t>
      </w:r>
      <w:r w:rsidRPr="00D74CEB">
        <w:rPr>
          <w:rFonts w:ascii="Arial" w:hAnsi="Arial" w:hint="cs"/>
          <w:noProof w:val="0"/>
          <w:rtl/>
        </w:rPr>
        <w:t>(בע"מ 946/08</w:t>
      </w:r>
      <w:r>
        <w:rPr>
          <w:rFonts w:ascii="Arial" w:hAnsi="Arial" w:hint="cs"/>
          <w:b/>
          <w:bCs/>
          <w:noProof w:val="0"/>
          <w:rtl/>
        </w:rPr>
        <w:t xml:space="preserve"> פלוני נ' פלונית </w:t>
      </w:r>
      <w:r w:rsidRPr="00D74CEB">
        <w:rPr>
          <w:rFonts w:ascii="Arial" w:hAnsi="Arial" w:hint="cs"/>
          <w:noProof w:val="0"/>
          <w:rtl/>
        </w:rPr>
        <w:t>(26.5.2008, פורסם בנבו), פסקה י"ח)</w:t>
      </w:r>
      <w:r>
        <w:rPr>
          <w:rFonts w:ascii="Arial" w:hAnsi="Arial" w:hint="cs"/>
          <w:b/>
          <w:bCs/>
          <w:noProof w:val="0"/>
          <w:rtl/>
        </w:rPr>
        <w:t xml:space="preserve">. </w:t>
      </w:r>
    </w:p>
    <w:p w:rsidR="00FB4A98" w:rsidRPr="001D7E00" w:rsidRDefault="00FB4A98" w:rsidP="00FB4A98">
      <w:pPr>
        <w:pStyle w:val="af1"/>
        <w:spacing w:line="360" w:lineRule="auto"/>
        <w:ind w:left="794" w:right="567"/>
        <w:jc w:val="both"/>
        <w:rPr>
          <w:rFonts w:ascii="Arial" w:hAnsi="Arial"/>
          <w:b/>
          <w:bCs/>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בענייננו, אין חולק שבשעת חתימתה של התובעת על כל הערבויות הנדונות (ולמעשה, עד מועד שמיעת ההוכחות, ייתכן עד יום כתיבת פסק הדין) לא מונה לתובעת אפוטרופוס, ולפיכך עומדת לה החזקה שבסעיף 2 </w:t>
      </w:r>
      <w:r w:rsidRPr="00C157A5">
        <w:rPr>
          <w:rFonts w:ascii="Arial" w:hAnsi="Arial" w:hint="cs"/>
          <w:noProof w:val="0"/>
          <w:rtl/>
        </w:rPr>
        <w:t>ל</w:t>
      </w:r>
      <w:r w:rsidRPr="00C157A5">
        <w:rPr>
          <w:rFonts w:ascii="Arial" w:hAnsi="Arial" w:hint="cs"/>
          <w:b/>
          <w:bCs/>
          <w:noProof w:val="0"/>
          <w:rtl/>
        </w:rPr>
        <w:t>חוק הכשרות והאפוטרופסות, התשכ"ב-1962</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C157A5">
        <w:rPr>
          <w:rFonts w:ascii="Arial" w:hAnsi="Arial" w:hint="cs"/>
          <w:b/>
          <w:bCs/>
          <w:noProof w:val="0"/>
          <w:rtl/>
        </w:rPr>
        <w:t>חוק הכשרות והאפוטרופסות</w:t>
      </w:r>
      <w:r>
        <w:rPr>
          <w:rFonts w:ascii="Arial" w:hAnsi="Arial" w:hint="cs"/>
          <w:noProof w:val="0"/>
          <w:rtl/>
        </w:rPr>
        <w:t xml:space="preserve">"), כי היא הייתה בעלת כשרות משפטית לחתום על מסמכי הערבויות ולהתחייב לפיהן.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האם, למרות זאת, ניתן לקבוע מהראיות שהוצגו כי מצבה הקוגניטיבי שלל ממנה את האפשרות להבין את טיב ההתחייבויות שנטלה על עצמה בחתימתה על כתבי הערבות?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נטל הראייה בשאלה זו מוטל על התובעים, הן משום שהם המבקשים להפריך את החזקה האמורה והן משום היותם התובעים.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כבר הצבעתי לעיל על כך, שגם מכתב התביעה וגם מעדויותיהם של התובע ובנו ב' עולה שהם אינם טוענים שהתובעת לא הבינה או לא רצתה לחתום על הערבויות, כך שיש סתירה מובנית בין האמור בכתב התביעה והעולה מהעדויות לבין הסעד שהתבקש לבטלות הערבויות וכן בין האמור בכתב התביעה והעולה מהעדויות לבין המסקנה שבחוות הדעת שהוגשה מטעמם, אך מאחר שחוות דעת זו של ד"ר פורת כץ הונחה לפני, והיא אף נחקרה, וכך גם חוות הדעת הנגדית של פרופ' פניג, שמטעם הנתבע, אדון בהן.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ד"ר פורת כץ התבקשה על-ידי התובעים לחוות דעת דעתה בשתי שאלות: האם לאור מצבה של התובעת היא הייתה יכולה להבין את משמעות כתבי הערבות עליהן היא חתמה במחצית הראשונה של שנת 2018? והאם לאור מצבה הקוגניטיבי היא יכולה להעיד כיום?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ביחס לשאלה הראשונה היא הסתמכה על שתי הערכות שנעשו על-ידי ד"ר יהושוע נאמן (להלן </w:t>
      </w:r>
      <w:r>
        <w:rPr>
          <w:rFonts w:ascii="Arial" w:hAnsi="Arial"/>
          <w:noProof w:val="0"/>
          <w:rtl/>
        </w:rPr>
        <w:t>–</w:t>
      </w:r>
      <w:r>
        <w:rPr>
          <w:rFonts w:ascii="Arial" w:hAnsi="Arial" w:hint="cs"/>
          <w:noProof w:val="0"/>
          <w:rtl/>
        </w:rPr>
        <w:t xml:space="preserve"> "</w:t>
      </w:r>
      <w:r w:rsidRPr="00886000">
        <w:rPr>
          <w:rFonts w:ascii="Arial" w:hAnsi="Arial" w:hint="cs"/>
          <w:b/>
          <w:bCs/>
          <w:noProof w:val="0"/>
          <w:rtl/>
        </w:rPr>
        <w:t>ד"ר נאמן</w:t>
      </w:r>
      <w:r>
        <w:rPr>
          <w:rFonts w:ascii="Arial" w:hAnsi="Arial" w:hint="cs"/>
          <w:noProof w:val="0"/>
          <w:rtl/>
        </w:rPr>
        <w:t xml:space="preserve">") מומחה בפסיכולוגיה קלינית, מיום 2.11.2006 ומיום 20.3.2019, ועל מכתב של פרופ' מוני אלקיים (להלן </w:t>
      </w:r>
      <w:r>
        <w:rPr>
          <w:rFonts w:ascii="Arial" w:hAnsi="Arial"/>
          <w:noProof w:val="0"/>
          <w:rtl/>
        </w:rPr>
        <w:t>–</w:t>
      </w:r>
      <w:r>
        <w:rPr>
          <w:rFonts w:ascii="Arial" w:hAnsi="Arial" w:hint="cs"/>
          <w:noProof w:val="0"/>
          <w:rtl/>
        </w:rPr>
        <w:t xml:space="preserve"> "</w:t>
      </w:r>
      <w:r w:rsidRPr="00886000">
        <w:rPr>
          <w:rFonts w:ascii="Arial" w:hAnsi="Arial" w:hint="cs"/>
          <w:b/>
          <w:bCs/>
          <w:noProof w:val="0"/>
          <w:rtl/>
        </w:rPr>
        <w:t>פרופ' אלקיים</w:t>
      </w:r>
      <w:r>
        <w:rPr>
          <w:rFonts w:ascii="Arial" w:hAnsi="Arial" w:hint="cs"/>
          <w:noProof w:val="0"/>
          <w:rtl/>
        </w:rPr>
        <w:t xml:space="preserve">") שבדק את התובעת בבלגיה ביום 12.12.2017, שנכתב בצרפתית ותורגם לעברית.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ממכתביו של ד"ר נאמן היא הסיקה כי החל מחודש נובמבר 2016 יש תיעוד של ירידה קוגניטיבית, "</w:t>
      </w:r>
      <w:r w:rsidRPr="007354AF">
        <w:rPr>
          <w:rFonts w:ascii="Arial" w:hAnsi="Arial" w:hint="cs"/>
          <w:b/>
          <w:bCs/>
          <w:noProof w:val="0"/>
          <w:rtl/>
        </w:rPr>
        <w:t xml:space="preserve">מסוג לא אמנסטי, כלומר הפגיעה הקוגניטיבית היא בעיקרה לא בזיכרון אלא </w:t>
      </w:r>
      <w:r w:rsidRPr="007354AF">
        <w:rPr>
          <w:rFonts w:ascii="Arial" w:hAnsi="Arial" w:hint="cs"/>
          <w:b/>
          <w:bCs/>
          <w:noProof w:val="0"/>
          <w:rtl/>
        </w:rPr>
        <w:lastRenderedPageBreak/>
        <w:t>בתהליכי חשיבה אחרת: איטיות חשיבתית, בשפה, בשיום חפצים וירידה חמורה בשטף מילולי פונטי וסמנטי, כמו כן ירידה בינונית בזיכרון מילולי לטווח קצר</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אולם, את מסקנתה </w:t>
      </w:r>
      <w:r>
        <w:rPr>
          <w:rFonts w:ascii="Arial" w:hAnsi="Arial"/>
          <w:noProof w:val="0"/>
          <w:rtl/>
        </w:rPr>
        <w:t>–</w:t>
      </w:r>
      <w:r>
        <w:rPr>
          <w:rFonts w:ascii="Arial" w:hAnsi="Arial" w:hint="cs"/>
          <w:noProof w:val="0"/>
          <w:rtl/>
        </w:rPr>
        <w:t xml:space="preserve"> תשובתה לשאלה הראשונה היא ביססה על מכתבו של פרופ' אלקיים, שהמשפט המסכם שלו הוא "</w:t>
      </w:r>
      <w:r w:rsidRPr="001118FE">
        <w:rPr>
          <w:rFonts w:ascii="Arial" w:hAnsi="Arial" w:hint="cs"/>
          <w:b/>
          <w:bCs/>
          <w:noProof w:val="0"/>
          <w:rtl/>
        </w:rPr>
        <w:t>סבירות גבוהה לדמנציה בינונית המקשה ביצוע פעולות יומיומיות</w:t>
      </w:r>
      <w:r>
        <w:rPr>
          <w:rFonts w:ascii="Arial" w:hAnsi="Arial" w:hint="cs"/>
          <w:noProof w:val="0"/>
          <w:rtl/>
        </w:rPr>
        <w:t xml:space="preserve">". מסקנתה </w:t>
      </w:r>
      <w:r>
        <w:rPr>
          <w:rFonts w:ascii="Arial" w:hAnsi="Arial"/>
          <w:noProof w:val="0"/>
          <w:rtl/>
        </w:rPr>
        <w:t>–</w:t>
      </w:r>
      <w:r>
        <w:rPr>
          <w:rFonts w:ascii="Arial" w:hAnsi="Arial" w:hint="cs"/>
          <w:noProof w:val="0"/>
          <w:rtl/>
        </w:rPr>
        <w:t xml:space="preserve"> לתשובה לשאלה הראשונה היא, כי "</w:t>
      </w:r>
      <w:r w:rsidRPr="003D4A10">
        <w:rPr>
          <w:rFonts w:ascii="Arial" w:hAnsi="Arial" w:hint="cs"/>
          <w:b/>
          <w:bCs/>
          <w:noProof w:val="0"/>
          <w:rtl/>
        </w:rPr>
        <w:t>מתוך הממצאים הקוגניטיביים אשר נמצאו באבחון זה עולה ש</w:t>
      </w:r>
      <w:r w:rsidRPr="003D4A10">
        <w:rPr>
          <w:rFonts w:ascii="Arial" w:hAnsi="Arial" w:hint="cs"/>
          <w:noProof w:val="0"/>
          <w:rtl/>
        </w:rPr>
        <w:t>[התובעת]</w:t>
      </w:r>
      <w:r w:rsidRPr="003D4A10">
        <w:rPr>
          <w:rFonts w:ascii="Arial" w:hAnsi="Arial" w:hint="cs"/>
          <w:b/>
          <w:bCs/>
          <w:noProof w:val="0"/>
          <w:rtl/>
        </w:rPr>
        <w:t xml:space="preserve"> לא הייתה יכולה להבין את משמעות כתבי הערבות עליהם חתמה בשנת 2018</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ביחס לשאלה השנייה, מסקנתה </w:t>
      </w:r>
      <w:r>
        <w:rPr>
          <w:rFonts w:ascii="Arial" w:hAnsi="Arial"/>
          <w:noProof w:val="0"/>
          <w:rtl/>
        </w:rPr>
        <w:t>–</w:t>
      </w:r>
      <w:r>
        <w:rPr>
          <w:rFonts w:ascii="Arial" w:hAnsi="Arial" w:hint="cs"/>
          <w:noProof w:val="0"/>
          <w:rtl/>
        </w:rPr>
        <w:t xml:space="preserve"> תשובתה ניתנה על סמך בדיקת התובעת בדירתה (ביום 26.7.2021).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מבדיקתה עלו הנתונים הבאים: </w:t>
      </w:r>
    </w:p>
    <w:p w:rsidR="00FB4A98" w:rsidRPr="00633388" w:rsidRDefault="00FB4A98" w:rsidP="00FB4A98">
      <w:pPr>
        <w:pStyle w:val="af1"/>
        <w:spacing w:line="360" w:lineRule="auto"/>
        <w:ind w:left="369"/>
        <w:jc w:val="both"/>
        <w:rPr>
          <w:rFonts w:ascii="Arial" w:hAnsi="Arial"/>
          <w:b/>
          <w:bCs/>
          <w:noProof w:val="0"/>
          <w:rtl/>
        </w:rPr>
      </w:pPr>
      <w:r>
        <w:rPr>
          <w:rFonts w:ascii="Arial" w:hAnsi="Arial" w:hint="cs"/>
          <w:noProof w:val="0"/>
          <w:rtl/>
        </w:rPr>
        <w:t>"</w:t>
      </w:r>
      <w:r w:rsidRPr="00633388">
        <w:rPr>
          <w:rFonts w:ascii="Arial" w:hAnsi="Arial" w:hint="cs"/>
          <w:b/>
          <w:bCs/>
          <w:noProof w:val="0"/>
          <w:rtl/>
        </w:rPr>
        <w:t>משתפת פעולה, נינוחה וחברותית מנסה לרצות את כולם, מסודרת בהופעתה החיצונית, רזה. חשיבה קונקרטית לעיתים אינה רציפה, הקשב תקין, אפקט תואם. מדבר</w:t>
      </w:r>
      <w:r>
        <w:rPr>
          <w:rFonts w:ascii="Arial" w:hAnsi="Arial" w:hint="cs"/>
          <w:b/>
          <w:bCs/>
          <w:noProof w:val="0"/>
          <w:rtl/>
        </w:rPr>
        <w:t>ת</w:t>
      </w:r>
      <w:r w:rsidRPr="00633388">
        <w:rPr>
          <w:rFonts w:ascii="Arial" w:hAnsi="Arial" w:hint="cs"/>
          <w:b/>
          <w:bCs/>
          <w:noProof w:val="0"/>
          <w:rtl/>
        </w:rPr>
        <w:t xml:space="preserve"> עברית בסיסית ומבינה את השפה הצרפתית בצורה יותר טובה. אינה יכולה לקרוא ולכתוב בעברית אך גם לא בצרפתית. </w:t>
      </w:r>
    </w:p>
    <w:p w:rsidR="00FB4A98" w:rsidRPr="00633388" w:rsidRDefault="00FB4A98" w:rsidP="00FB4A98">
      <w:pPr>
        <w:pStyle w:val="af1"/>
        <w:spacing w:line="360" w:lineRule="auto"/>
        <w:ind w:left="369"/>
        <w:jc w:val="both"/>
        <w:rPr>
          <w:rFonts w:ascii="Arial" w:hAnsi="Arial"/>
          <w:b/>
          <w:bCs/>
          <w:noProof w:val="0"/>
          <w:rtl/>
        </w:rPr>
      </w:pPr>
      <w:r w:rsidRPr="00633388">
        <w:rPr>
          <w:rFonts w:ascii="Arial" w:hAnsi="Arial" w:hint="cs"/>
          <w:b/>
          <w:bCs/>
          <w:noProof w:val="0"/>
          <w:rtl/>
        </w:rPr>
        <w:t xml:space="preserve">זיכרונה לוקה בחסר בזיכרון מילולי לטווח הקצר וכן פגיעה בזיכרון לטווח הארוך </w:t>
      </w:r>
      <w:r w:rsidRPr="00633388">
        <w:rPr>
          <w:rFonts w:ascii="Arial" w:hAnsi="Arial"/>
          <w:b/>
          <w:bCs/>
          <w:noProof w:val="0"/>
          <w:rtl/>
        </w:rPr>
        <w:t>–</w:t>
      </w:r>
      <w:r w:rsidRPr="00633388">
        <w:rPr>
          <w:rFonts w:ascii="Arial" w:hAnsi="Arial" w:hint="cs"/>
          <w:b/>
          <w:bCs/>
          <w:noProof w:val="0"/>
          <w:rtl/>
        </w:rPr>
        <w:t xml:space="preserve"> לא זכרה אם אכלה או לא, ישנם זיכרונות שגויים כגון אומרת שנולדה בבלגיה. מתמצאת בסיטואציה, מתמצאת בבני המשפחה, אך היא אינה מתמצאת בזמן ומתמצאת חלקית במקום. קיימת הבנה טובה, אך [</w:t>
      </w:r>
      <w:r w:rsidRPr="00633388">
        <w:rPr>
          <w:rFonts w:ascii="Arial" w:hAnsi="Arial" w:hint="cs"/>
          <w:noProof w:val="0"/>
          <w:rtl/>
        </w:rPr>
        <w:t>התובעת</w:t>
      </w:r>
      <w:r w:rsidRPr="00633388">
        <w:rPr>
          <w:rFonts w:ascii="Arial" w:hAnsi="Arial" w:hint="cs"/>
          <w:b/>
          <w:bCs/>
          <w:noProof w:val="0"/>
          <w:rtl/>
        </w:rPr>
        <w:t xml:space="preserve">] אינה מודעת לבעיה בזיכרון שלה. בבדיקה נמצאו סימנים לפגיעה בחשיבה מופשטת ובשיפוט. תפקודית ניידת באופן עצמאי, עצמאית במעברים, מתלבשת לבד, לרוב שולטת על סוגרים ואוכלת לבד. זקוקה להגשת אוכל ולהשגחה ברחצה. </w:t>
      </w:r>
    </w:p>
    <w:p w:rsidR="00FB4A98" w:rsidRDefault="00FB4A98" w:rsidP="00FB4A98">
      <w:pPr>
        <w:pStyle w:val="af1"/>
        <w:spacing w:line="360" w:lineRule="auto"/>
        <w:ind w:left="369"/>
        <w:jc w:val="both"/>
        <w:rPr>
          <w:rFonts w:ascii="Arial" w:hAnsi="Arial"/>
          <w:noProof w:val="0"/>
          <w:rtl/>
        </w:rPr>
      </w:pPr>
      <w:r w:rsidRPr="00633388">
        <w:rPr>
          <w:rFonts w:ascii="Arial" w:hAnsi="Arial" w:hint="cs"/>
          <w:b/>
          <w:bCs/>
          <w:noProof w:val="0"/>
          <w:rtl/>
        </w:rPr>
        <w:t>לכן אני מסיקה שבשל מצבה הקוגניטיבי של [</w:t>
      </w:r>
      <w:r w:rsidRPr="00633388">
        <w:rPr>
          <w:rFonts w:ascii="Arial" w:hAnsi="Arial" w:hint="cs"/>
          <w:noProof w:val="0"/>
          <w:rtl/>
        </w:rPr>
        <w:t>התובעת</w:t>
      </w:r>
      <w:r w:rsidRPr="00633388">
        <w:rPr>
          <w:rFonts w:ascii="Arial" w:hAnsi="Arial" w:hint="cs"/>
          <w:b/>
          <w:bCs/>
          <w:noProof w:val="0"/>
          <w:rtl/>
        </w:rPr>
        <w:t>] היא אינה יכולה להעיד כיום בפני בית המשפט הנכבד</w:t>
      </w:r>
      <w:r>
        <w:rPr>
          <w:rFonts w:ascii="Arial" w:hAnsi="Arial" w:hint="cs"/>
          <w:noProof w:val="0"/>
          <w:rtl/>
        </w:rPr>
        <w:t xml:space="preserve">". </w:t>
      </w:r>
    </w:p>
    <w:p w:rsidR="00FB4A98" w:rsidRPr="00E41A34"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שתי ההערכות של ד"ר נאמן ומכתבו של פרופ' אלקיים לא צורפו לחוות הדעת של ד"ר פורת-כץ. היא הופתעה בחקירתה (הראשונה, מיום 27.2.2022) להיווכח שהם לא צורפו (עמ' 33).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רק לאחר חקירתה הגישו התובעים בקשה לצירוף המסמכים האמורים והנתבע התנגד לכך.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בהחלטתי בפרוטוקול מיום 13.3.2022 (עמ' 13) התרתי את הגשתם כנספחים לחוות הדעת, "</w:t>
      </w:r>
      <w:r w:rsidRPr="001D74BF">
        <w:rPr>
          <w:rFonts w:ascii="Arial" w:hAnsi="Arial" w:hint="cs"/>
          <w:b/>
          <w:bCs/>
          <w:noProof w:val="0"/>
          <w:rtl/>
        </w:rPr>
        <w:t>כאשר הצדדים רשאים כמובן לטעון לעניין קבילותם ומשקלם בסיכומים</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כן התרתי לנתבע להשלים את חקירתה של ד"ר פורת-כץ לאור המסמכים שיצורפו וכן להגיש חוות דעת נגדית.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lastRenderedPageBreak/>
        <w:t xml:space="preserve">בעקבות זאת, הגישו התובעים שני מסמכים של ד"ר נאמן, האחד מיום 2.11.2016 שנזכר בחוות דעתה של ד"ר פורת-כץ והשני שלא נזכר בחוות הדעת מיום 23.6.2021.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המסמך השני של ד"ר נאמן שנזכר בחוות הדעת, מיום 20.3.2019, לא צורף.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ד"ר פורת-כץ אישרה בחקירתה השנייה (מיום 2.10.2022, עמ' 60), שהיא לא נעזרה במסמך של ד"ר נאמן מיום 23.6.2021 לצורך חוות דעתה.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בהתאם להיתר שניתן על ידי, כאמור, הגיש הנתבע את חוות דעתו של פרופ' פניג.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פרופ' פניג לא בדק את התובעת ונימק זאת בכך, "</w:t>
      </w:r>
      <w:r w:rsidRPr="001071CA">
        <w:rPr>
          <w:rFonts w:ascii="Arial" w:hAnsi="Arial" w:hint="cs"/>
          <w:b/>
          <w:bCs/>
          <w:noProof w:val="0"/>
          <w:rtl/>
        </w:rPr>
        <w:t>שכן לא ניתן להסיק ממצבה הבריאותי והנפשי של [</w:t>
      </w:r>
      <w:r w:rsidRPr="00BB74F2">
        <w:rPr>
          <w:rFonts w:ascii="Arial" w:hAnsi="Arial" w:hint="cs"/>
          <w:noProof w:val="0"/>
          <w:rtl/>
        </w:rPr>
        <w:t>התובעת]</w:t>
      </w:r>
      <w:r w:rsidRPr="001071CA">
        <w:rPr>
          <w:rFonts w:ascii="Arial" w:hAnsi="Arial" w:hint="cs"/>
          <w:b/>
          <w:bCs/>
          <w:noProof w:val="0"/>
          <w:rtl/>
        </w:rPr>
        <w:t xml:space="preserve"> כיום ביחס לכשירותה במהלך האירועים שהתרחשו לפני שנים (בשנת 2018) באופן שאין לבדיקה שכזו כיום ערך רב (בייחוד לאור תיעוד בדבר בעיות זיכרון</w:t>
      </w:r>
      <w:r>
        <w:rPr>
          <w:rFonts w:ascii="Arial" w:hAnsi="Arial" w:hint="cs"/>
          <w:b/>
          <w:bCs/>
          <w:noProof w:val="0"/>
          <w:rtl/>
        </w:rPr>
        <w:t>)</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נימוק זה מקובל עלי. השאלה שיש להכריע בה הינה כאמור מצבה המנטלי של התובעת בעת חתימתה על כתבי הערבות ולא מצבה המנטלי בעת הגשת התביעה או בעת ניהול המשפט. ואם כבר, אזי מצבה המנטלי בעת הגשת התביעה מציף את הקושי שהצבתי לעיל בדבר כושרה להסמיך את בא-כוחה ו/או את התובע ו/או את בנה ב' להגשת התביעה בשמה.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פרופ' פניג ביסס את חוות דעתו על המסמכים שצורפו בסוף לחוות דעתה של ד"ר פורת-כץ, תוך ציון העובדה שכבר צוינה לעיל שהערכת המעקב של ד"ר נאמן מיום 20.3.2019 שהוזכרה בחוות הדעת של ד"ר פורת-כץ לא צורפה, וכן לא צורפה הערכת מצב נוספת של ד"ר נאמן, מיום 7.6.2017, שנזכרת בהערכה שצורפה (ושלא הוזכרה בחוות דעת ד"ר פורת-כץ), מיום 23.6.2021.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פרופ' פניג ציין עוד שמכתבו של פרופ' אלקיים מיום 12.12.2021 צורף ללא נספחיו, שכוללים (על-פי הנזכר במכתב) תוצאות בדיקות רפואיות ותוצאות בדיקות מנטליות שבוצעו לתובעת באותה עת.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פרופ' פניג הקדים וציין בחוות דעתו (סעיף 13): "</w:t>
      </w:r>
      <w:r w:rsidRPr="00C40F6C">
        <w:rPr>
          <w:rFonts w:ascii="Arial" w:hAnsi="Arial" w:hint="cs"/>
          <w:b/>
          <w:bCs/>
          <w:noProof w:val="0"/>
          <w:rtl/>
        </w:rPr>
        <w:t>הכשירות (</w:t>
      </w:r>
      <w:r w:rsidRPr="00C40F6C">
        <w:rPr>
          <w:rFonts w:ascii="Arial" w:hAnsi="Arial"/>
          <w:b/>
          <w:bCs/>
          <w:noProof w:val="0"/>
        </w:rPr>
        <w:t>competency</w:t>
      </w:r>
      <w:r w:rsidRPr="00C40F6C">
        <w:rPr>
          <w:rFonts w:ascii="Arial" w:hAnsi="Arial" w:hint="cs"/>
          <w:b/>
          <w:bCs/>
          <w:noProof w:val="0"/>
          <w:rtl/>
        </w:rPr>
        <w:t>) או המסוגלות (</w:t>
      </w:r>
      <w:r w:rsidRPr="00C40F6C">
        <w:rPr>
          <w:rFonts w:ascii="Arial" w:hAnsi="Arial"/>
          <w:b/>
          <w:bCs/>
          <w:noProof w:val="0"/>
        </w:rPr>
        <w:t>capacity</w:t>
      </w:r>
      <w:r w:rsidRPr="00C40F6C">
        <w:rPr>
          <w:rFonts w:ascii="Arial" w:hAnsi="Arial" w:hint="cs"/>
          <w:b/>
          <w:bCs/>
          <w:noProof w:val="0"/>
          <w:rtl/>
        </w:rPr>
        <w:t>) של אדם אינה נבחנת באופן כללי ותיאורטי אלא נבדקת ספציפית לגבי פעולה או משימה או החלטה ספציפית. כך לדוגמא: כשירות לערוך צוואה אינה זהה לכשירות לחתום על השתתפות בניסוי / מחקר, וכשירות לרכישה בסופרמרקט אינה זהה לכשירות למתן הסכמה להליך רפואי. אדם יכו</w:t>
      </w:r>
      <w:r>
        <w:rPr>
          <w:rFonts w:ascii="Arial" w:hAnsi="Arial" w:hint="cs"/>
          <w:b/>
          <w:bCs/>
          <w:noProof w:val="0"/>
          <w:rtl/>
        </w:rPr>
        <w:t>ל להיות כשיר לפעולה אחת ואינו</w:t>
      </w:r>
      <w:r w:rsidRPr="00C40F6C">
        <w:rPr>
          <w:rFonts w:ascii="Arial" w:hAnsi="Arial" w:hint="cs"/>
          <w:b/>
          <w:bCs/>
          <w:noProof w:val="0"/>
          <w:rtl/>
        </w:rPr>
        <w:t xml:space="preserve"> כשיר לפעולה אחרת</w:t>
      </w:r>
      <w:r>
        <w:rPr>
          <w:rFonts w:ascii="Arial" w:hAnsi="Arial" w:hint="cs"/>
          <w:noProof w:val="0"/>
          <w:rtl/>
        </w:rPr>
        <w:t>".</w:t>
      </w:r>
    </w:p>
    <w:p w:rsidR="00FB4A98" w:rsidRPr="00511C56" w:rsidRDefault="00FB4A98" w:rsidP="00FB4A98">
      <w:pPr>
        <w:spacing w:line="360" w:lineRule="auto"/>
        <w:ind w:left="9" w:firstLine="360"/>
        <w:jc w:val="both"/>
        <w:rPr>
          <w:rFonts w:ascii="Arial" w:hAnsi="Arial"/>
          <w:noProof w:val="0"/>
          <w:rtl/>
        </w:rPr>
      </w:pPr>
      <w:r w:rsidRPr="00511C56">
        <w:rPr>
          <w:rFonts w:ascii="Arial" w:hAnsi="Arial" w:hint="cs"/>
          <w:noProof w:val="0"/>
          <w:rtl/>
        </w:rPr>
        <w:t xml:space="preserve">ובהמשך </w:t>
      </w:r>
      <w:r>
        <w:rPr>
          <w:rFonts w:ascii="Arial" w:hAnsi="Arial" w:hint="cs"/>
          <w:noProof w:val="0"/>
          <w:rtl/>
        </w:rPr>
        <w:t xml:space="preserve">הוסיף (בסעיף 17.3):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w:t>
      </w:r>
      <w:r>
        <w:rPr>
          <w:rFonts w:ascii="Arial" w:hAnsi="Arial" w:hint="cs"/>
          <w:b/>
          <w:bCs/>
          <w:noProof w:val="0"/>
          <w:rtl/>
        </w:rPr>
        <w:t>ובמילים אחרות: עצם היות</w:t>
      </w:r>
      <w:r w:rsidRPr="00511C56">
        <w:rPr>
          <w:rFonts w:ascii="Arial" w:hAnsi="Arial" w:hint="cs"/>
          <w:b/>
          <w:bCs/>
          <w:noProof w:val="0"/>
          <w:rtl/>
        </w:rPr>
        <w:t xml:space="preserve"> המצווה מאובחן כלוקה בדמנציה בינונית חמורה איננו בהכרח אומר שאיננו כשיר לערוך צוואה. יתירה מזאת, המצווה יכול להיות במצב של דמנציה בינונית-חמורה עם ניקוד של מיני מנטל 15 ועדיין להיות כשיר לצוות. ... יש לזכור לעניין זה </w:t>
      </w:r>
      <w:r w:rsidRPr="00511C56">
        <w:rPr>
          <w:rFonts w:ascii="Arial" w:hAnsi="Arial" w:hint="cs"/>
          <w:b/>
          <w:bCs/>
          <w:noProof w:val="0"/>
          <w:rtl/>
        </w:rPr>
        <w:lastRenderedPageBreak/>
        <w:t>כי בבדיקות שבוצעו [</w:t>
      </w:r>
      <w:r w:rsidRPr="00122DD7">
        <w:rPr>
          <w:rFonts w:ascii="Arial" w:hAnsi="Arial" w:hint="cs"/>
          <w:noProof w:val="0"/>
          <w:rtl/>
        </w:rPr>
        <w:t>לתובעת]</w:t>
      </w:r>
      <w:r w:rsidRPr="00511C56">
        <w:rPr>
          <w:rFonts w:ascii="Arial" w:hAnsi="Arial" w:hint="cs"/>
          <w:b/>
          <w:bCs/>
          <w:noProof w:val="0"/>
          <w:rtl/>
        </w:rPr>
        <w:t xml:space="preserve"> מספר חודשים לפני החתימה על מסמכי הערבות נקבע כי ערכי המיני מנטל שלה עומדים על 20-21 כמפורט בתיעוד מיום 23.6.21 המתייחס לבדיקה מיום 07.06.17</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יצוין, כי עַרַכֵי המיני מנטל שצויינו על-ידי פרופ' פניג לקוחים ממסמך המעקב של ד"ר נאמן מיום 23.6.2021, שהיו כדלקמן: ביום 2.11.16 </w:t>
      </w:r>
      <w:r>
        <w:rPr>
          <w:rFonts w:ascii="Arial" w:hAnsi="Arial"/>
          <w:noProof w:val="0"/>
          <w:rtl/>
        </w:rPr>
        <w:t>–</w:t>
      </w:r>
      <w:r>
        <w:rPr>
          <w:rFonts w:ascii="Arial" w:hAnsi="Arial" w:hint="cs"/>
          <w:noProof w:val="0"/>
          <w:rtl/>
        </w:rPr>
        <w:t xml:space="preserve"> 27/30, 7.6.17 </w:t>
      </w:r>
      <w:r>
        <w:rPr>
          <w:rFonts w:ascii="Arial" w:hAnsi="Arial"/>
          <w:noProof w:val="0"/>
          <w:rtl/>
        </w:rPr>
        <w:t>–</w:t>
      </w:r>
      <w:r>
        <w:rPr>
          <w:rFonts w:ascii="Arial" w:hAnsi="Arial" w:hint="cs"/>
          <w:noProof w:val="0"/>
          <w:rtl/>
        </w:rPr>
        <w:t xml:space="preserve"> 21/30, 20.3.19 </w:t>
      </w:r>
      <w:r>
        <w:rPr>
          <w:rFonts w:ascii="Arial" w:hAnsi="Arial"/>
          <w:noProof w:val="0"/>
          <w:rtl/>
        </w:rPr>
        <w:t>–</w:t>
      </w:r>
      <w:r>
        <w:rPr>
          <w:rFonts w:ascii="Arial" w:hAnsi="Arial" w:hint="cs"/>
          <w:noProof w:val="0"/>
          <w:rtl/>
        </w:rPr>
        <w:t xml:space="preserve"> 20/30, 23.6.21 </w:t>
      </w:r>
      <w:r>
        <w:rPr>
          <w:rFonts w:ascii="Arial" w:hAnsi="Arial"/>
          <w:noProof w:val="0"/>
          <w:rtl/>
        </w:rPr>
        <w:t>–</w:t>
      </w:r>
      <w:r>
        <w:rPr>
          <w:rFonts w:ascii="Arial" w:hAnsi="Arial" w:hint="cs"/>
          <w:noProof w:val="0"/>
          <w:rtl/>
        </w:rPr>
        <w:t xml:space="preserve"> 15/30.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פרופ' פניג הוסיף וניתח בחוות דעתו את הממצאים והמסמכים שהונחו לפניו ולהלן מסקנותיו (סעיף 43): </w:t>
      </w:r>
    </w:p>
    <w:p w:rsidR="00FB4A98" w:rsidRPr="002965C5" w:rsidRDefault="00FB4A98" w:rsidP="00FB4A98">
      <w:pPr>
        <w:tabs>
          <w:tab w:val="left" w:pos="936"/>
        </w:tabs>
        <w:spacing w:line="360" w:lineRule="auto"/>
        <w:ind w:left="924" w:hanging="555"/>
        <w:jc w:val="both"/>
        <w:rPr>
          <w:rFonts w:ascii="Arial" w:hAnsi="Arial"/>
          <w:b/>
          <w:bCs/>
          <w:noProof w:val="0"/>
          <w:rtl/>
        </w:rPr>
      </w:pPr>
      <w:r w:rsidRPr="00664612">
        <w:rPr>
          <w:rFonts w:ascii="Arial" w:hAnsi="Arial" w:hint="cs"/>
          <w:noProof w:val="0"/>
          <w:rtl/>
        </w:rPr>
        <w:t>"</w:t>
      </w:r>
      <w:r w:rsidRPr="002965C5">
        <w:rPr>
          <w:rFonts w:ascii="Arial" w:hAnsi="Arial" w:hint="cs"/>
          <w:b/>
          <w:bCs/>
          <w:noProof w:val="0"/>
          <w:rtl/>
        </w:rPr>
        <w:t xml:space="preserve">א. </w:t>
      </w:r>
      <w:r w:rsidRPr="002965C5">
        <w:rPr>
          <w:rFonts w:ascii="Arial" w:hAnsi="Arial"/>
          <w:b/>
          <w:bCs/>
          <w:noProof w:val="0"/>
          <w:rtl/>
        </w:rPr>
        <w:tab/>
      </w:r>
      <w:r w:rsidRPr="002965C5">
        <w:rPr>
          <w:rFonts w:ascii="Arial" w:hAnsi="Arial" w:hint="cs"/>
          <w:b/>
          <w:bCs/>
          <w:noProof w:val="0"/>
          <w:rtl/>
        </w:rPr>
        <w:t>[</w:t>
      </w:r>
      <w:r w:rsidRPr="002965C5">
        <w:rPr>
          <w:rFonts w:ascii="Arial" w:hAnsi="Arial" w:hint="cs"/>
          <w:noProof w:val="0"/>
          <w:rtl/>
        </w:rPr>
        <w:t>התובעת</w:t>
      </w:r>
      <w:r w:rsidRPr="002965C5">
        <w:rPr>
          <w:rFonts w:ascii="Arial" w:hAnsi="Arial" w:hint="cs"/>
          <w:b/>
          <w:bCs/>
          <w:noProof w:val="0"/>
          <w:rtl/>
        </w:rPr>
        <w:t>] מאובחנת כלוקה בתהליך שטיוני ואולם אין בהבחנה זו כשלעצמה כדי ללמד כי במועדים הרלוונטים, קרי: בימים 01.01.18, 11.01.18 ו- 07.06.18, היא לא הי</w:t>
      </w:r>
      <w:r>
        <w:rPr>
          <w:rFonts w:ascii="Arial" w:hAnsi="Arial" w:hint="cs"/>
          <w:b/>
          <w:bCs/>
          <w:noProof w:val="0"/>
          <w:rtl/>
        </w:rPr>
        <w:t>ת</w:t>
      </w:r>
      <w:r w:rsidRPr="002965C5">
        <w:rPr>
          <w:rFonts w:ascii="Arial" w:hAnsi="Arial" w:hint="cs"/>
          <w:b/>
          <w:bCs/>
          <w:noProof w:val="0"/>
          <w:rtl/>
        </w:rPr>
        <w:t xml:space="preserve">ה כשירה לחתום על מסמכי הערבות. </w:t>
      </w:r>
    </w:p>
    <w:p w:rsidR="00FB4A98" w:rsidRPr="002965C5" w:rsidRDefault="00FB4A98" w:rsidP="00FB4A98">
      <w:pPr>
        <w:tabs>
          <w:tab w:val="left" w:pos="936"/>
        </w:tabs>
        <w:spacing w:line="360" w:lineRule="auto"/>
        <w:ind w:left="369"/>
        <w:jc w:val="both"/>
        <w:rPr>
          <w:rFonts w:ascii="Arial" w:hAnsi="Arial"/>
          <w:b/>
          <w:bCs/>
          <w:noProof w:val="0"/>
          <w:rtl/>
        </w:rPr>
      </w:pPr>
      <w:r w:rsidRPr="002965C5">
        <w:rPr>
          <w:rFonts w:ascii="Arial" w:hAnsi="Arial" w:hint="cs"/>
          <w:b/>
          <w:bCs/>
          <w:noProof w:val="0"/>
          <w:rtl/>
        </w:rPr>
        <w:t xml:space="preserve">ב. </w:t>
      </w:r>
      <w:r w:rsidRPr="002965C5">
        <w:rPr>
          <w:rFonts w:ascii="Arial" w:hAnsi="Arial"/>
          <w:b/>
          <w:bCs/>
          <w:noProof w:val="0"/>
          <w:rtl/>
        </w:rPr>
        <w:tab/>
      </w:r>
      <w:r>
        <w:rPr>
          <w:rFonts w:ascii="Arial" w:hAnsi="Arial" w:hint="cs"/>
          <w:b/>
          <w:bCs/>
          <w:noProof w:val="0"/>
          <w:rtl/>
        </w:rPr>
        <w:t>הירידה הקוגני</w:t>
      </w:r>
      <w:r w:rsidRPr="002965C5">
        <w:rPr>
          <w:rFonts w:ascii="Arial" w:hAnsi="Arial" w:hint="cs"/>
          <w:b/>
          <w:bCs/>
          <w:noProof w:val="0"/>
          <w:rtl/>
        </w:rPr>
        <w:t>טיבית של [</w:t>
      </w:r>
      <w:r w:rsidRPr="002965C5">
        <w:rPr>
          <w:rFonts w:ascii="Arial" w:hAnsi="Arial" w:hint="cs"/>
          <w:noProof w:val="0"/>
          <w:rtl/>
        </w:rPr>
        <w:t>התובעת</w:t>
      </w:r>
      <w:r w:rsidRPr="002965C5">
        <w:rPr>
          <w:rFonts w:ascii="Arial" w:hAnsi="Arial" w:hint="cs"/>
          <w:b/>
          <w:bCs/>
          <w:noProof w:val="0"/>
          <w:rtl/>
        </w:rPr>
        <w:t xml:space="preserve">] במהלך השנים היא מתונה ביותר ובשנים </w:t>
      </w:r>
      <w:r w:rsidRPr="002965C5">
        <w:rPr>
          <w:rFonts w:ascii="Arial" w:hAnsi="Arial"/>
          <w:b/>
          <w:bCs/>
          <w:noProof w:val="0"/>
          <w:rtl/>
        </w:rPr>
        <w:tab/>
      </w:r>
      <w:r w:rsidRPr="002965C5">
        <w:rPr>
          <w:rFonts w:ascii="Arial" w:hAnsi="Arial" w:hint="cs"/>
          <w:b/>
          <w:bCs/>
          <w:noProof w:val="0"/>
          <w:rtl/>
        </w:rPr>
        <w:t xml:space="preserve">2019-2017 אין ירידה משמעותית, לפחות לפי בדיקת המיני מנטל. </w:t>
      </w:r>
    </w:p>
    <w:p w:rsidR="00FB4A98" w:rsidRPr="002965C5" w:rsidRDefault="00FB4A98" w:rsidP="00FB4A98">
      <w:pPr>
        <w:tabs>
          <w:tab w:val="left" w:pos="936"/>
        </w:tabs>
        <w:spacing w:line="360" w:lineRule="auto"/>
        <w:ind w:left="720" w:hanging="351"/>
        <w:jc w:val="both"/>
        <w:rPr>
          <w:rFonts w:ascii="Arial" w:hAnsi="Arial"/>
          <w:b/>
          <w:bCs/>
          <w:noProof w:val="0"/>
          <w:rtl/>
        </w:rPr>
      </w:pPr>
      <w:r w:rsidRPr="002965C5">
        <w:rPr>
          <w:rFonts w:ascii="Arial" w:hAnsi="Arial" w:hint="cs"/>
          <w:b/>
          <w:bCs/>
          <w:noProof w:val="0"/>
          <w:rtl/>
        </w:rPr>
        <w:t xml:space="preserve">ג. </w:t>
      </w:r>
      <w:r w:rsidRPr="002965C5">
        <w:rPr>
          <w:rFonts w:ascii="Arial" w:hAnsi="Arial"/>
          <w:b/>
          <w:bCs/>
          <w:noProof w:val="0"/>
          <w:rtl/>
        </w:rPr>
        <w:tab/>
      </w:r>
      <w:r w:rsidRPr="002965C5">
        <w:rPr>
          <w:rFonts w:ascii="Arial" w:hAnsi="Arial" w:hint="cs"/>
          <w:b/>
          <w:bCs/>
          <w:noProof w:val="0"/>
          <w:rtl/>
        </w:rPr>
        <w:t>הפגיעה הקוגניטיבית אצל [</w:t>
      </w:r>
      <w:r w:rsidRPr="002965C5">
        <w:rPr>
          <w:rFonts w:ascii="Arial" w:hAnsi="Arial" w:hint="cs"/>
          <w:noProof w:val="0"/>
          <w:rtl/>
        </w:rPr>
        <w:t>התובעת</w:t>
      </w:r>
      <w:r w:rsidRPr="002965C5">
        <w:rPr>
          <w:rFonts w:ascii="Arial" w:hAnsi="Arial" w:hint="cs"/>
          <w:b/>
          <w:bCs/>
          <w:noProof w:val="0"/>
          <w:rtl/>
        </w:rPr>
        <w:t xml:space="preserve">] איננה אחידה ויש שטחים שנפגעו יותר ושטחים שנפגעו פחות. לגבי כושר השיפוט: אין עדות לפגיעה </w:t>
      </w:r>
      <w:r w:rsidRPr="002965C5">
        <w:rPr>
          <w:rFonts w:ascii="Arial" w:hAnsi="Arial"/>
          <w:b/>
          <w:bCs/>
          <w:noProof w:val="0"/>
          <w:rtl/>
        </w:rPr>
        <w:t>–</w:t>
      </w:r>
      <w:r w:rsidRPr="002965C5">
        <w:rPr>
          <w:rFonts w:ascii="Arial" w:hAnsi="Arial" w:hint="cs"/>
          <w:b/>
          <w:bCs/>
          <w:noProof w:val="0"/>
          <w:rtl/>
        </w:rPr>
        <w:t xml:space="preserve"> ובבדיקה הסמוכה ביותר לחתימה על המסמך הראשון של הערבות (ינואר 2018) מצויין כושר שיפוט משתנה!!! </w:t>
      </w:r>
    </w:p>
    <w:p w:rsidR="00FB4A98" w:rsidRPr="002965C5" w:rsidRDefault="00FB4A98" w:rsidP="00FB4A98">
      <w:pPr>
        <w:tabs>
          <w:tab w:val="left" w:pos="936"/>
        </w:tabs>
        <w:spacing w:line="360" w:lineRule="auto"/>
        <w:ind w:left="720" w:hanging="351"/>
        <w:jc w:val="both"/>
        <w:rPr>
          <w:rFonts w:ascii="Arial" w:hAnsi="Arial"/>
          <w:b/>
          <w:bCs/>
          <w:noProof w:val="0"/>
          <w:rtl/>
        </w:rPr>
      </w:pPr>
      <w:r w:rsidRPr="002965C5">
        <w:rPr>
          <w:rFonts w:ascii="Arial" w:hAnsi="Arial" w:hint="cs"/>
          <w:b/>
          <w:bCs/>
          <w:noProof w:val="0"/>
          <w:rtl/>
        </w:rPr>
        <w:t xml:space="preserve">ד. </w:t>
      </w:r>
      <w:r w:rsidRPr="002965C5">
        <w:rPr>
          <w:rFonts w:ascii="Arial" w:hAnsi="Arial"/>
          <w:b/>
          <w:bCs/>
          <w:noProof w:val="0"/>
          <w:rtl/>
        </w:rPr>
        <w:tab/>
      </w:r>
      <w:r w:rsidRPr="002965C5">
        <w:rPr>
          <w:rFonts w:ascii="Arial" w:hAnsi="Arial" w:hint="cs"/>
          <w:b/>
          <w:bCs/>
          <w:noProof w:val="0"/>
          <w:rtl/>
        </w:rPr>
        <w:t>לא נערכה כל בדיקה ספציפית לגבי כשירותה המשפטית של [</w:t>
      </w:r>
      <w:r w:rsidRPr="002965C5">
        <w:rPr>
          <w:rFonts w:ascii="Arial" w:hAnsi="Arial" w:hint="cs"/>
          <w:noProof w:val="0"/>
          <w:rtl/>
        </w:rPr>
        <w:t>התובעת</w:t>
      </w:r>
      <w:r w:rsidRPr="002965C5">
        <w:rPr>
          <w:rFonts w:ascii="Arial" w:hAnsi="Arial" w:hint="cs"/>
          <w:b/>
          <w:bCs/>
          <w:noProof w:val="0"/>
          <w:rtl/>
        </w:rPr>
        <w:t xml:space="preserve">] </w:t>
      </w:r>
      <w:r w:rsidRPr="002965C5">
        <w:rPr>
          <w:rFonts w:ascii="Arial" w:hAnsi="Arial"/>
          <w:b/>
          <w:bCs/>
          <w:noProof w:val="0"/>
          <w:rtl/>
        </w:rPr>
        <w:t>–</w:t>
      </w:r>
      <w:r w:rsidRPr="002965C5">
        <w:rPr>
          <w:rFonts w:ascii="Arial" w:hAnsi="Arial" w:hint="cs"/>
          <w:b/>
          <w:bCs/>
          <w:noProof w:val="0"/>
          <w:rtl/>
        </w:rPr>
        <w:t xml:space="preserve"> בכלל, ולגבי כשירותה הספציפית לחתימה על כתבי ערבות, בשלושה מועדים שונים </w:t>
      </w:r>
      <w:r w:rsidRPr="002965C5">
        <w:rPr>
          <w:rFonts w:ascii="Arial" w:hAnsi="Arial"/>
          <w:b/>
          <w:bCs/>
          <w:noProof w:val="0"/>
          <w:rtl/>
        </w:rPr>
        <w:t>–</w:t>
      </w:r>
      <w:r w:rsidRPr="002965C5">
        <w:rPr>
          <w:rFonts w:ascii="Arial" w:hAnsi="Arial" w:hint="cs"/>
          <w:b/>
          <w:bCs/>
          <w:noProof w:val="0"/>
          <w:rtl/>
        </w:rPr>
        <w:t xml:space="preserve"> בפרט. </w:t>
      </w:r>
    </w:p>
    <w:p w:rsidR="00FB4A98" w:rsidRPr="002965C5" w:rsidRDefault="00FB4A98" w:rsidP="00FB4A98">
      <w:pPr>
        <w:tabs>
          <w:tab w:val="left" w:pos="936"/>
        </w:tabs>
        <w:spacing w:line="360" w:lineRule="auto"/>
        <w:ind w:left="720" w:hanging="351"/>
        <w:jc w:val="both"/>
        <w:rPr>
          <w:rFonts w:ascii="Arial" w:hAnsi="Arial"/>
          <w:b/>
          <w:bCs/>
          <w:noProof w:val="0"/>
          <w:rtl/>
        </w:rPr>
      </w:pPr>
      <w:r w:rsidRPr="002965C5">
        <w:rPr>
          <w:rFonts w:ascii="Arial" w:hAnsi="Arial" w:hint="cs"/>
          <w:b/>
          <w:bCs/>
          <w:noProof w:val="0"/>
          <w:rtl/>
        </w:rPr>
        <w:t xml:space="preserve">ה. </w:t>
      </w:r>
      <w:r w:rsidRPr="002965C5">
        <w:rPr>
          <w:rFonts w:ascii="Arial" w:hAnsi="Arial" w:hint="cs"/>
          <w:b/>
          <w:bCs/>
          <w:noProof w:val="0"/>
          <w:rtl/>
        </w:rPr>
        <w:tab/>
        <w:t xml:space="preserve">הכשרות/מסוגלות לביצוע פעולה משפטית והמסוגלות בכלל צריכים להיבדק ספציפית סמוך ככל האפשר לביצוע הפעולה המשפטית. בדיקות אלה לא נעשו כנראה. </w:t>
      </w:r>
    </w:p>
    <w:p w:rsidR="00FB4A98" w:rsidRPr="002965C5" w:rsidRDefault="00FB4A98" w:rsidP="00FB4A98">
      <w:pPr>
        <w:tabs>
          <w:tab w:val="left" w:pos="936"/>
        </w:tabs>
        <w:spacing w:line="360" w:lineRule="auto"/>
        <w:ind w:left="720" w:hanging="351"/>
        <w:jc w:val="both"/>
        <w:rPr>
          <w:rFonts w:ascii="Arial" w:hAnsi="Arial"/>
          <w:b/>
          <w:bCs/>
          <w:noProof w:val="0"/>
          <w:rtl/>
        </w:rPr>
      </w:pPr>
      <w:r w:rsidRPr="002965C5">
        <w:rPr>
          <w:rFonts w:ascii="Arial" w:hAnsi="Arial" w:hint="cs"/>
          <w:b/>
          <w:bCs/>
          <w:noProof w:val="0"/>
          <w:rtl/>
        </w:rPr>
        <w:t xml:space="preserve">ו. </w:t>
      </w:r>
      <w:r w:rsidRPr="002965C5">
        <w:rPr>
          <w:rFonts w:ascii="Arial" w:hAnsi="Arial" w:hint="cs"/>
          <w:b/>
          <w:bCs/>
          <w:noProof w:val="0"/>
          <w:rtl/>
        </w:rPr>
        <w:tab/>
        <w:t>עצם היותה של [</w:t>
      </w:r>
      <w:r w:rsidRPr="002965C5">
        <w:rPr>
          <w:rFonts w:ascii="Arial" w:hAnsi="Arial" w:hint="cs"/>
          <w:noProof w:val="0"/>
          <w:rtl/>
        </w:rPr>
        <w:t>התובעת</w:t>
      </w:r>
      <w:r w:rsidRPr="002965C5">
        <w:rPr>
          <w:rFonts w:ascii="Arial" w:hAnsi="Arial" w:hint="cs"/>
          <w:b/>
          <w:bCs/>
          <w:noProof w:val="0"/>
          <w:rtl/>
        </w:rPr>
        <w:t xml:space="preserve">] מאובחנת כלוקה בדמנציה איננו פוסל את כשירותה המשפטית ובכלל כך את כשירותה המשפטית לחתום על מסמכי ערבות וברירת המחדל היא שהיא כשירה לביצוע כל פעולה משפטית." </w:t>
      </w:r>
    </w:p>
    <w:p w:rsidR="00FB4A98" w:rsidRPr="00664612" w:rsidRDefault="00FB4A98" w:rsidP="00FB4A98">
      <w:pPr>
        <w:tabs>
          <w:tab w:val="left" w:pos="936"/>
        </w:tabs>
        <w:spacing w:line="360" w:lineRule="auto"/>
        <w:ind w:left="720" w:hanging="351"/>
        <w:jc w:val="both"/>
        <w:rPr>
          <w:rFonts w:ascii="Arial" w:hAnsi="Arial"/>
          <w:noProof w:val="0"/>
        </w:rPr>
      </w:pPr>
    </w:p>
    <w:p w:rsidR="00FB4A98" w:rsidRPr="0083071F" w:rsidRDefault="00FB4A98" w:rsidP="00FB4A98">
      <w:pPr>
        <w:pStyle w:val="af1"/>
        <w:numPr>
          <w:ilvl w:val="0"/>
          <w:numId w:val="1"/>
        </w:numPr>
        <w:spacing w:line="360" w:lineRule="auto"/>
        <w:ind w:left="369"/>
        <w:jc w:val="both"/>
        <w:rPr>
          <w:rFonts w:ascii="Arial" w:hAnsi="Arial"/>
          <w:b/>
          <w:bCs/>
          <w:noProof w:val="0"/>
        </w:rPr>
      </w:pPr>
      <w:r>
        <w:rPr>
          <w:rFonts w:ascii="Arial" w:hAnsi="Arial" w:hint="cs"/>
          <w:noProof w:val="0"/>
          <w:rtl/>
        </w:rPr>
        <w:t>פרופ' פניג נשאל בחקירתו בבית המשפט מיום 19.12.2022 (עמ' 231 לפרו'), האם הוא יכול להגיד בביטחון שהתובעת הייתה כשירה לחתום על מסמכי הערבות והשיב, "</w:t>
      </w:r>
      <w:r w:rsidRPr="0083071F">
        <w:rPr>
          <w:rFonts w:ascii="Arial" w:hAnsi="Arial" w:hint="cs"/>
          <w:b/>
          <w:bCs/>
          <w:noProof w:val="0"/>
          <w:rtl/>
        </w:rPr>
        <w:t>אני לא יכול להגיד בביטחון, זה נכון, נקודת המוצא שלי היא, שאדם כשיר, היא לא הוכרזה כפסולת דין... אף אחד לא חשב למנות לה אפוטרופוס...</w:t>
      </w:r>
    </w:p>
    <w:p w:rsidR="00FB4A98" w:rsidRPr="0083071F" w:rsidRDefault="00FB4A98" w:rsidP="00FB4A98">
      <w:pPr>
        <w:pStyle w:val="af1"/>
        <w:spacing w:line="360" w:lineRule="auto"/>
        <w:ind w:left="369"/>
        <w:jc w:val="both"/>
        <w:rPr>
          <w:rFonts w:ascii="Arial" w:hAnsi="Arial"/>
          <w:b/>
          <w:bCs/>
          <w:noProof w:val="0"/>
          <w:rtl/>
        </w:rPr>
      </w:pPr>
      <w:r w:rsidRPr="0083071F">
        <w:rPr>
          <w:rFonts w:ascii="Arial" w:hAnsi="Arial" w:hint="cs"/>
          <w:b/>
          <w:bCs/>
          <w:noProof w:val="0"/>
          <w:rtl/>
        </w:rPr>
        <w:t xml:space="preserve">השופט: </w:t>
      </w:r>
      <w:r w:rsidRPr="0083071F">
        <w:rPr>
          <w:rFonts w:ascii="Arial" w:hAnsi="Arial"/>
          <w:b/>
          <w:bCs/>
          <w:noProof w:val="0"/>
        </w:rPr>
        <w:t>o.k</w:t>
      </w:r>
      <w:r w:rsidRPr="0083071F">
        <w:rPr>
          <w:rFonts w:ascii="Arial" w:hAnsi="Arial" w:hint="cs"/>
          <w:b/>
          <w:bCs/>
          <w:noProof w:val="0"/>
          <w:rtl/>
        </w:rPr>
        <w:t xml:space="preserve">, מה שאדוני אומר בפשטות, שאין, לא היה לי מספיק נתונים כדי לקבוע שהיא לא הייתה כשירה? </w:t>
      </w:r>
    </w:p>
    <w:p w:rsidR="00FB4A98" w:rsidRPr="0083071F" w:rsidRDefault="00FB4A98" w:rsidP="00FB4A98">
      <w:pPr>
        <w:pStyle w:val="af1"/>
        <w:spacing w:line="360" w:lineRule="auto"/>
        <w:ind w:left="369"/>
        <w:jc w:val="both"/>
        <w:rPr>
          <w:rFonts w:ascii="Arial" w:hAnsi="Arial"/>
          <w:b/>
          <w:bCs/>
          <w:noProof w:val="0"/>
          <w:rtl/>
        </w:rPr>
      </w:pPr>
      <w:r w:rsidRPr="0083071F">
        <w:rPr>
          <w:rFonts w:ascii="Arial" w:hAnsi="Arial" w:hint="cs"/>
          <w:b/>
          <w:bCs/>
          <w:noProof w:val="0"/>
          <w:rtl/>
        </w:rPr>
        <w:t xml:space="preserve">שמואל [פרופ' פניג]: בוודאי. </w:t>
      </w:r>
    </w:p>
    <w:p w:rsidR="00FB4A98" w:rsidRPr="0083071F" w:rsidRDefault="00FB4A98" w:rsidP="00FB4A98">
      <w:pPr>
        <w:pStyle w:val="af1"/>
        <w:spacing w:line="360" w:lineRule="auto"/>
        <w:ind w:left="369"/>
        <w:jc w:val="both"/>
        <w:rPr>
          <w:rFonts w:ascii="Arial" w:hAnsi="Arial"/>
          <w:b/>
          <w:bCs/>
          <w:noProof w:val="0"/>
          <w:rtl/>
        </w:rPr>
      </w:pPr>
      <w:r w:rsidRPr="0083071F">
        <w:rPr>
          <w:rFonts w:ascii="Arial" w:hAnsi="Arial" w:hint="cs"/>
          <w:b/>
          <w:bCs/>
          <w:noProof w:val="0"/>
          <w:rtl/>
        </w:rPr>
        <w:t xml:space="preserve">השופט: זה מה שאדוני אומר. </w:t>
      </w:r>
    </w:p>
    <w:p w:rsidR="00FB4A98" w:rsidRDefault="00FB4A98" w:rsidP="00FB4A98">
      <w:pPr>
        <w:pStyle w:val="af1"/>
        <w:spacing w:line="360" w:lineRule="auto"/>
        <w:ind w:left="369"/>
        <w:jc w:val="both"/>
        <w:rPr>
          <w:rFonts w:ascii="Arial" w:hAnsi="Arial"/>
          <w:noProof w:val="0"/>
          <w:rtl/>
        </w:rPr>
      </w:pPr>
      <w:r w:rsidRPr="0083071F">
        <w:rPr>
          <w:rFonts w:ascii="Arial" w:hAnsi="Arial" w:hint="cs"/>
          <w:b/>
          <w:bCs/>
          <w:noProof w:val="0"/>
          <w:rtl/>
        </w:rPr>
        <w:lastRenderedPageBreak/>
        <w:t>שמואל: נכון</w:t>
      </w:r>
      <w:r>
        <w:rPr>
          <w:rFonts w:ascii="Arial" w:hAnsi="Arial" w:hint="cs"/>
          <w:noProof w:val="0"/>
          <w:rtl/>
        </w:rPr>
        <w:t xml:space="preserve">". </w:t>
      </w:r>
    </w:p>
    <w:p w:rsidR="00FB4A98" w:rsidRPr="0083071F" w:rsidRDefault="00FB4A98" w:rsidP="00FB4A98">
      <w:pPr>
        <w:pStyle w:val="af1"/>
        <w:spacing w:line="360" w:lineRule="auto"/>
        <w:ind w:left="369"/>
        <w:jc w:val="both"/>
        <w:rPr>
          <w:rFonts w:ascii="Arial" w:hAnsi="Arial"/>
          <w:noProof w:val="0"/>
          <w:rtl/>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זוהי גם מסקנתי, לאחר שבחנתי את שתי חוות הדעת.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מלבד זאת, שיש עדיפות מסוימת בשאלה הנדרשת להכרעה לחוות דעתו של פרופ' פניג, שמומחיותו היא פסיכיאטריה, על פני חוות דעתה של ד"ר פורת כץ, שמומחיותה היא בתחום הרפואה הפנימית והרפואה הגריאטרית, הרי שהימנעותם של התובעים מלהעיד באופן ישיר את ד"ר נאמן ואף את פרופ' אלקיים (על דרך זימונו מבלגיה), שבדקו בזמן אמת את התובעת, כמו גם רופאים נוספים שבדקו את התובעת במהלך התקופה הנדונה על-פי עדותו של התובע (פרוטוקול מיום 13.3.2022, עמ' 26), כאשר נטל ההוכחה בעניין זה מוטל עליהם, פועלת לרעתם. וכי, מדוע נדרש להגיש חוות דעת הנסמכת רטרואקטיבית על הבדיקות שנעשו במהלך השנים האלה כשיש אפשרות להעיד באופן ישיר את כל עורכי הבדיקות (יצוין, כי ב"כ הנתבע התנגד לקבילותם של המסמכים שסופחו לחוות דעת ד"ר פורת-כץ, ללא העדת עורכם)? </w:t>
      </w:r>
    </w:p>
    <w:p w:rsidR="00FB4A98" w:rsidRPr="002B222E" w:rsidRDefault="00FB4A98" w:rsidP="00FB4A98">
      <w:pPr>
        <w:spacing w:line="360" w:lineRule="auto"/>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הנתון שמכריע, לדעתי, את הכף בעניין זה, לרעת התובעים, הוא התנהגותם של התובעת ושל בנו ב' בזמן אמת: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אם הם ידעו על מצבה של התובעת בזמן הרלבנטי, הכיצד זה "גררו" אותה לחתום על כתבי הערבות? האם, חלילה, התובעת ובנו ב' היו שותפים לְמעשים שלא כדין שנעשו כלפי התובעת, האישה והאם?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מאחר שהנחה זו מטילה כתם גדול עליהם, והם ודאי אינם תומכים בה, נותרה ההנחה הסבירה, שהתנהגותה באותה העת של התובעת לא העידה על כך שהיא לא הבינה שהיא חותמת על כתבי ערבות לטובת החַבַרות הקשורות לבנה, ושהיא עשתה כן משום רצונה לסייע לבנה.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הנחה </w:t>
      </w:r>
      <w:r>
        <w:rPr>
          <w:rFonts w:ascii="Arial" w:hAnsi="Arial"/>
          <w:noProof w:val="0"/>
          <w:rtl/>
        </w:rPr>
        <w:t>–</w:t>
      </w:r>
      <w:r>
        <w:rPr>
          <w:rFonts w:ascii="Arial" w:hAnsi="Arial" w:hint="cs"/>
          <w:noProof w:val="0"/>
          <w:rtl/>
        </w:rPr>
        <w:t xml:space="preserve"> מסקנה זו נתמכת גם מעדותם של התובע ושל בנו בבית-המשפט.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התובע (פרו' מיום 13.3.2022, עמ' 26-25): </w:t>
      </w:r>
    </w:p>
    <w:p w:rsidR="00FB4A98" w:rsidRPr="003C3AEC" w:rsidRDefault="00FB4A98" w:rsidP="00FB4A98">
      <w:pPr>
        <w:pStyle w:val="af1"/>
        <w:spacing w:line="360" w:lineRule="auto"/>
        <w:ind w:left="369"/>
        <w:jc w:val="both"/>
        <w:rPr>
          <w:rFonts w:ascii="Arial" w:hAnsi="Arial"/>
          <w:b/>
          <w:bCs/>
          <w:noProof w:val="0"/>
          <w:rtl/>
        </w:rPr>
      </w:pPr>
      <w:r>
        <w:rPr>
          <w:rFonts w:ascii="Arial" w:hAnsi="Arial" w:hint="cs"/>
          <w:noProof w:val="0"/>
          <w:rtl/>
        </w:rPr>
        <w:t>"</w:t>
      </w:r>
      <w:r w:rsidRPr="003C3AEC">
        <w:rPr>
          <w:rFonts w:ascii="Arial" w:hAnsi="Arial" w:hint="cs"/>
          <w:b/>
          <w:bCs/>
          <w:noProof w:val="0"/>
          <w:rtl/>
        </w:rPr>
        <w:t>עו"ד לוינסון: האם זה נכון שלא הודעת למרכנתיל [</w:t>
      </w:r>
      <w:r w:rsidRPr="00F7512D">
        <w:rPr>
          <w:rFonts w:ascii="Arial" w:hAnsi="Arial" w:hint="cs"/>
          <w:noProof w:val="0"/>
          <w:rtl/>
        </w:rPr>
        <w:t>בנק נוסף, שבו מנהלת התובעת את חשבונה</w:t>
      </w:r>
      <w:r w:rsidRPr="003C3AEC">
        <w:rPr>
          <w:rFonts w:ascii="Arial" w:hAnsi="Arial" w:hint="cs"/>
          <w:b/>
          <w:bCs/>
          <w:noProof w:val="0"/>
          <w:rtl/>
        </w:rPr>
        <w:t xml:space="preserve">] שיש </w:t>
      </w:r>
      <w:r>
        <w:rPr>
          <w:rFonts w:ascii="Arial" w:hAnsi="Arial" w:hint="cs"/>
          <w:b/>
          <w:bCs/>
          <w:noProof w:val="0"/>
          <w:rtl/>
        </w:rPr>
        <w:t>ל[</w:t>
      </w:r>
      <w:r w:rsidRPr="00F93218">
        <w:rPr>
          <w:rFonts w:ascii="Arial" w:hAnsi="Arial" w:hint="cs"/>
          <w:noProof w:val="0"/>
          <w:rtl/>
        </w:rPr>
        <w:t>תובעת</w:t>
      </w:r>
      <w:r>
        <w:rPr>
          <w:rFonts w:ascii="Arial" w:hAnsi="Arial" w:hint="cs"/>
          <w:b/>
          <w:bCs/>
          <w:noProof w:val="0"/>
          <w:rtl/>
        </w:rPr>
        <w:t>]</w:t>
      </w:r>
      <w:r w:rsidRPr="003C3AEC">
        <w:rPr>
          <w:rFonts w:ascii="Arial" w:hAnsi="Arial" w:hint="cs"/>
          <w:b/>
          <w:bCs/>
          <w:noProof w:val="0"/>
          <w:rtl/>
        </w:rPr>
        <w:t xml:space="preserve"> דמנציה? </w:t>
      </w:r>
    </w:p>
    <w:p w:rsidR="00FB4A98" w:rsidRPr="003C3AEC" w:rsidRDefault="00FB4A98" w:rsidP="00FB4A98">
      <w:pPr>
        <w:pStyle w:val="af1"/>
        <w:spacing w:line="360" w:lineRule="auto"/>
        <w:ind w:left="369"/>
        <w:jc w:val="both"/>
        <w:rPr>
          <w:rFonts w:ascii="Arial" w:hAnsi="Arial"/>
          <w:b/>
          <w:bCs/>
          <w:noProof w:val="0"/>
          <w:rtl/>
        </w:rPr>
      </w:pPr>
      <w:r w:rsidRPr="003C3AEC">
        <w:rPr>
          <w:rFonts w:ascii="Arial" w:hAnsi="Arial" w:hint="cs"/>
          <w:b/>
          <w:bCs/>
          <w:noProof w:val="0"/>
          <w:rtl/>
        </w:rPr>
        <w:t xml:space="preserve">... </w:t>
      </w:r>
    </w:p>
    <w:p w:rsidR="00FB4A98" w:rsidRDefault="00FB4A98" w:rsidP="00FB4A98">
      <w:pPr>
        <w:pStyle w:val="af1"/>
        <w:spacing w:line="360" w:lineRule="auto"/>
        <w:ind w:left="369"/>
        <w:jc w:val="both"/>
        <w:rPr>
          <w:rFonts w:ascii="Arial" w:hAnsi="Arial"/>
          <w:noProof w:val="0"/>
          <w:rtl/>
        </w:rPr>
      </w:pPr>
      <w:r w:rsidRPr="003C3AEC">
        <w:rPr>
          <w:rFonts w:ascii="Arial" w:hAnsi="Arial" w:hint="cs"/>
          <w:b/>
          <w:bCs/>
          <w:noProof w:val="0"/>
          <w:rtl/>
        </w:rPr>
        <w:t>[התובע]: לפני שנתיים היא הייתה בסדר</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מאחר שהתובע נחקר ביום 13.3.2022, הרי שעל-פי עדותו, התובעת "</w:t>
      </w:r>
      <w:r w:rsidRPr="00F7512D">
        <w:rPr>
          <w:rFonts w:ascii="Arial" w:hAnsi="Arial" w:hint="cs"/>
          <w:b/>
          <w:bCs/>
          <w:noProof w:val="0"/>
          <w:rtl/>
        </w:rPr>
        <w:t>הייתה בסדר</w:t>
      </w:r>
      <w:r>
        <w:rPr>
          <w:rFonts w:ascii="Arial" w:hAnsi="Arial" w:hint="cs"/>
          <w:noProof w:val="0"/>
          <w:rtl/>
        </w:rPr>
        <w:t xml:space="preserve">" בסביבות מרץ 2020 זמן רב אחרי חתימת כתבי הערבות הנדונים.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גם ב' נשאל (פרו' מיום 27.2.2022, עמ' 100-98), כיצד הוא אפשר לאמו לחתום על המסמכים בבנק, אם מצבה היה כנטען על ידי התובעים. הוא נשאל על כך גם על-ידי ב"כ הנתבעים וגם על-ידי בית המשפט, ולאחר ניסיונות התחמקות אחדים הוא השיב "</w:t>
      </w:r>
      <w:r w:rsidRPr="00AE1B01">
        <w:rPr>
          <w:rFonts w:ascii="Arial" w:hAnsi="Arial" w:hint="cs"/>
          <w:b/>
          <w:bCs/>
          <w:noProof w:val="0"/>
          <w:rtl/>
        </w:rPr>
        <w:t xml:space="preserve">זה נראה לי נורמלי שהיא </w:t>
      </w:r>
      <w:r w:rsidRPr="00AE1B01">
        <w:rPr>
          <w:rFonts w:ascii="Arial" w:hAnsi="Arial" w:hint="cs"/>
          <w:b/>
          <w:bCs/>
          <w:noProof w:val="0"/>
          <w:rtl/>
        </w:rPr>
        <w:lastRenderedPageBreak/>
        <w:t>חותמת</w:t>
      </w:r>
      <w:r>
        <w:rPr>
          <w:rFonts w:ascii="Arial" w:hAnsi="Arial" w:hint="cs"/>
          <w:noProof w:val="0"/>
          <w:rtl/>
        </w:rPr>
        <w:t>", הוא לא חשב שיש בעיה שהיא תפתח חשבון ו"</w:t>
      </w:r>
      <w:r w:rsidRPr="00AE1B01">
        <w:rPr>
          <w:rFonts w:ascii="Arial" w:hAnsi="Arial" w:hint="cs"/>
          <w:b/>
          <w:bCs/>
          <w:noProof w:val="0"/>
          <w:rtl/>
        </w:rPr>
        <w:t>היה נראה לי שהכל בסדר, היה נראה לי</w:t>
      </w:r>
      <w:r>
        <w:rPr>
          <w:rFonts w:ascii="Arial" w:hAnsi="Arial" w:hint="cs"/>
          <w:noProof w:val="0"/>
          <w:rtl/>
        </w:rPr>
        <w:t xml:space="preserve">". </w:t>
      </w:r>
    </w:p>
    <w:p w:rsidR="00FB4A98" w:rsidRPr="00AE1B01"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כפי שיפורט בהמשך, בהתייחס למעמד החתמת הערבויות, איש מעובדי הנתבע שעסקו בכך לא התרשם שהתובעת איננה מבינה על מה היא חותמת ולאיזו מטרה היא הגיעה לבנק, וגם נתון זה יש בו כדי לתרום למסקנה הכוללת.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התובעים טוענים שפרופ' פניג לא עיין במסמכי הערבות ולכן הוא אינו יכול לקבוע האם התובעת הייתה מסוגלת מנטלית להבין את תוכנם בזמן הרלבנטי.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פרופ' פניג אישר בחקירתו (מיום 19.10.2022, עמ' 209) שמסמכים אלה לא הוצגו לפניו, אך הוסיף שמה שהוא הונחה להשיב עליו הוא, האם כאשר התובעת חתמה על אותם מסמכים היא הייתה מסוגלת להבין שאלה מתייחסים למתן ערבות, ולכך ניתנה תשובתו.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אכן, כדי להשיב על שאלה זו, לא נדרש היה לעיין במסמכים עצמם.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העולה מכל האמור לעיל היא, שהתובעים לא עמדו בנטל המוטל עליהם, להוכחת הטענה כי התובעת לא הייתה מסוגלת שכלית להבין בחתימתה על כתבי הערבויות כי היא חותמת על מסמכי ערבות עבור החַבַרות הקשורות לבנה.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סביר להניח שהיא לא הבינה את כל, ואפילו את רוב, הפרטים המפורטים באותם מסמכים, אבל לא ניתן לקבוע שהיא לא הבינה את מרכיביהם העיקריים: היותם כתבי ערבות עבור החַבַרות הקשורות לבנה והסכומים הנקובים בהם (על כך להלן).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כמו כן הוכח שהתובעת הייתה במצב מתמשך של ירידה קוגניטיבית, החל משלהי שנת 2016, אך לא הוכח שמצבה הקוגניטיבי בעת חתימותיה על כתבי הערבות היה כזה השולל את יכולתה להבין את משמעות חתימותיה, כפי שהתובעים טוענים.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מאחר שנטל ההוכחה בעניין זה מוטל על התובעים, דין טענתם זו להידחות. </w:t>
      </w:r>
    </w:p>
    <w:p w:rsidR="00FB4A98" w:rsidRDefault="00FB4A98" w:rsidP="00FB4A98">
      <w:pPr>
        <w:spacing w:line="360" w:lineRule="auto"/>
        <w:jc w:val="both"/>
        <w:rPr>
          <w:rFonts w:ascii="Arial" w:hAnsi="Arial"/>
          <w:noProof w:val="0"/>
          <w:rtl/>
        </w:rPr>
      </w:pPr>
    </w:p>
    <w:p w:rsidR="00FB4A98" w:rsidRPr="0029611A" w:rsidRDefault="00FB4A98" w:rsidP="00FB4A98">
      <w:pPr>
        <w:spacing w:line="360" w:lineRule="auto"/>
        <w:jc w:val="both"/>
        <w:rPr>
          <w:rFonts w:ascii="Arial" w:hAnsi="Arial"/>
          <w:b/>
          <w:bCs/>
          <w:noProof w:val="0"/>
          <w:u w:val="single"/>
          <w:rtl/>
        </w:rPr>
      </w:pPr>
      <w:r w:rsidRPr="0029611A">
        <w:rPr>
          <w:rFonts w:ascii="Arial" w:hAnsi="Arial" w:hint="cs"/>
          <w:b/>
          <w:bCs/>
          <w:noProof w:val="0"/>
          <w:u w:val="single"/>
          <w:rtl/>
        </w:rPr>
        <w:t xml:space="preserve">הטענה לאי הבנת השפה העברית ומשמעות מסמכי הערבויות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התובעים טענו עוד שהם אינם "</w:t>
      </w:r>
      <w:r w:rsidRPr="00F7512D">
        <w:rPr>
          <w:rFonts w:ascii="Arial" w:hAnsi="Arial" w:hint="cs"/>
          <w:b/>
          <w:bCs/>
          <w:noProof w:val="0"/>
          <w:rtl/>
        </w:rPr>
        <w:t>שולטים בשפה העברית כנדרש</w:t>
      </w:r>
      <w:r>
        <w:rPr>
          <w:rFonts w:ascii="Arial" w:hAnsi="Arial" w:hint="cs"/>
          <w:noProof w:val="0"/>
          <w:rtl/>
        </w:rPr>
        <w:t xml:space="preserve">" ואינם קוראים וכותבים עברית (סעיף 1 לתצהיר התובע), ולכן, לדבריהם, הם לא היו מסוגלים להבין את תוכנם של מסמכי הערבות.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התובע אף עמד על כך שחקירתו בבית המשפט תיעשה באמצעות מתורגמנית בשפה הצרפתית.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lastRenderedPageBreak/>
        <w:t xml:space="preserve">עדי הנתבע העידו כי התקשורת עם התובעים, כלומר השיחות בעל-פה, נעשתה בשפה העברית, כשהשיחות נעשו בעיקר עם התובע, אך גם עם התובעת.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הנה דבריהם: </w:t>
      </w:r>
    </w:p>
    <w:p w:rsidR="00FB4A98" w:rsidRDefault="00FB4A98" w:rsidP="00FB4A98">
      <w:pPr>
        <w:pStyle w:val="af1"/>
        <w:numPr>
          <w:ilvl w:val="1"/>
          <w:numId w:val="1"/>
        </w:numPr>
        <w:spacing w:line="360" w:lineRule="auto"/>
        <w:ind w:left="794" w:hanging="425"/>
        <w:jc w:val="both"/>
        <w:rPr>
          <w:rFonts w:ascii="Arial" w:hAnsi="Arial"/>
          <w:noProof w:val="0"/>
          <w:rtl/>
        </w:rPr>
      </w:pPr>
      <w:r>
        <w:rPr>
          <w:rFonts w:ascii="Arial" w:hAnsi="Arial" w:hint="cs"/>
          <w:noProof w:val="0"/>
          <w:rtl/>
        </w:rPr>
        <w:t>נגאוקר, יועץ השקעות של הנתבע, נפגש עם התובעים ועם בנם ב', במרכז ההשקעות של הבנק, סמוך לאחר פתיחת חשבונה של התובעת בסניף, כדי לדון עימם באפשרויות ההשקעה של הכספים שהופקדו בחשבון. השיחות התנהלו בעברית (סעיף 7 לתצהירו). הוא התרשם שהתובעים "</w:t>
      </w:r>
      <w:r w:rsidRPr="00F7512D">
        <w:rPr>
          <w:rFonts w:ascii="Arial" w:hAnsi="Arial" w:hint="cs"/>
          <w:b/>
          <w:bCs/>
          <w:noProof w:val="0"/>
          <w:rtl/>
        </w:rPr>
        <w:t>מתקשרים בחופשיות בשפה העברית</w:t>
      </w:r>
      <w:r>
        <w:rPr>
          <w:rFonts w:ascii="Arial" w:hAnsi="Arial" w:hint="cs"/>
          <w:noProof w:val="0"/>
          <w:rtl/>
        </w:rPr>
        <w:t>" (סעיף 8) ושהם הבינו את המידע שהוסבר להם ואף ביקשו הבהרות ממנו או מבנם ב' (סעיף 9). אמנם, הוא התרשם שבכל הנוגע לנושא ההשקעות בני"ע והמרות מט"ח, התובע התמצא יותר מהתובעת, "</w:t>
      </w:r>
      <w:r w:rsidRPr="001926E8">
        <w:rPr>
          <w:rFonts w:ascii="Arial" w:hAnsi="Arial" w:hint="cs"/>
          <w:b/>
          <w:bCs/>
          <w:noProof w:val="0"/>
          <w:rtl/>
        </w:rPr>
        <w:t>כפי שקורה לא אחת</w:t>
      </w:r>
      <w:r>
        <w:rPr>
          <w:rFonts w:ascii="Arial" w:hAnsi="Arial" w:hint="cs"/>
          <w:noProof w:val="0"/>
          <w:rtl/>
        </w:rPr>
        <w:t xml:space="preserve">" (סעיף 10). תמלולי השיחות שניהל עם התובעים, שהוקלטו, צורפו לתצהירו (נספחים 60-49).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 xml:space="preserve">השיחות מתנהלות במרביתן בין נגאוקר ובין ב' והתובע, שמשיב, שואל ומעיר בעברית, אך גם התובעת נוטלת חלק במקצת השיחות, כשהיא משיבה ולעתים גם מעירה בעברית. התובעים פונים לעיתים לבנם ב' על-מנת שיתרגם להם דבר מסוים, אך בדרך כלל הם מנהלים את שיחותיהם ישירות עם נגאוקר בעברית וללא תרגום.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וכן בעדותו (מיום 19.10.22, עמ' 249): "</w:t>
      </w:r>
      <w:r w:rsidRPr="009E5C97">
        <w:rPr>
          <w:rFonts w:ascii="Arial" w:hAnsi="Arial" w:hint="cs"/>
          <w:b/>
          <w:bCs/>
          <w:noProof w:val="0"/>
          <w:rtl/>
        </w:rPr>
        <w:t>מתי שאני דיברתי אתם דיברו איתי בעברית</w:t>
      </w:r>
      <w:r>
        <w:rPr>
          <w:rFonts w:ascii="Arial" w:hAnsi="Arial" w:hint="cs"/>
          <w:noProof w:val="0"/>
          <w:rtl/>
        </w:rPr>
        <w:t>", (עמ' 270): "</w:t>
      </w:r>
      <w:r w:rsidRPr="009E5C97">
        <w:rPr>
          <w:rFonts w:ascii="Arial" w:hAnsi="Arial" w:hint="cs"/>
          <w:b/>
          <w:bCs/>
          <w:noProof w:val="0"/>
          <w:rtl/>
        </w:rPr>
        <w:t xml:space="preserve">ב' היה, </w:t>
      </w:r>
      <w:r w:rsidRPr="00E80F00">
        <w:rPr>
          <w:rFonts w:ascii="Arial" w:hAnsi="Arial" w:hint="cs"/>
          <w:noProof w:val="0"/>
          <w:rtl/>
        </w:rPr>
        <w:t>[התובע]</w:t>
      </w:r>
      <w:r w:rsidRPr="009E5C97">
        <w:rPr>
          <w:rFonts w:ascii="Arial" w:hAnsi="Arial" w:hint="cs"/>
          <w:b/>
          <w:bCs/>
          <w:noProof w:val="0"/>
          <w:rtl/>
        </w:rPr>
        <w:t xml:space="preserve"> היה שהוא גם ידע עברית טוב מאוד</w:t>
      </w:r>
      <w:r>
        <w:rPr>
          <w:rFonts w:ascii="Arial" w:hAnsi="Arial" w:hint="cs"/>
          <w:noProof w:val="0"/>
          <w:rtl/>
        </w:rPr>
        <w:t>".</w:t>
      </w:r>
    </w:p>
    <w:p w:rsidR="00FB4A98" w:rsidRDefault="00FB4A98" w:rsidP="00FB4A98">
      <w:pPr>
        <w:pStyle w:val="af1"/>
        <w:spacing w:line="360" w:lineRule="auto"/>
        <w:ind w:left="794"/>
        <w:jc w:val="both"/>
        <w:rPr>
          <w:rFonts w:ascii="Arial" w:hAnsi="Arial"/>
          <w:noProof w:val="0"/>
          <w:rtl/>
        </w:rPr>
      </w:pPr>
    </w:p>
    <w:p w:rsidR="00FB4A98" w:rsidRDefault="00FB4A98" w:rsidP="00FB4A98">
      <w:pPr>
        <w:pStyle w:val="af1"/>
        <w:numPr>
          <w:ilvl w:val="1"/>
          <w:numId w:val="1"/>
        </w:numPr>
        <w:spacing w:line="360" w:lineRule="auto"/>
        <w:ind w:left="794" w:hanging="425"/>
        <w:jc w:val="both"/>
        <w:rPr>
          <w:rFonts w:ascii="Arial" w:hAnsi="Arial"/>
          <w:noProof w:val="0"/>
          <w:rtl/>
        </w:rPr>
      </w:pPr>
      <w:r>
        <w:rPr>
          <w:rFonts w:ascii="Arial" w:hAnsi="Arial" w:hint="cs"/>
          <w:noProof w:val="0"/>
          <w:rtl/>
        </w:rPr>
        <w:t>גלנץ, שטיפלה כאמור בסניף בחשבון התובעת ובפניה חתמה התובעת על מסמכי הערבות השלישית, העידה כי גם התובע וגם התובעת דיברו איתה בעברית (סעיפים 48 ו-52 לתצהירה), והוסיפה (סעיף 49): "</w:t>
      </w:r>
      <w:r w:rsidRPr="00E900C5">
        <w:rPr>
          <w:rFonts w:ascii="Arial" w:hAnsi="Arial" w:hint="cs"/>
          <w:b/>
          <w:bCs/>
          <w:noProof w:val="0"/>
          <w:rtl/>
        </w:rPr>
        <w:t xml:space="preserve">התובעת, בעלה התובע ובנם ב' </w:t>
      </w:r>
      <w:r w:rsidRPr="00E900C5">
        <w:rPr>
          <w:rFonts w:ascii="Arial" w:hAnsi="Arial"/>
          <w:b/>
          <w:bCs/>
          <w:noProof w:val="0"/>
          <w:rtl/>
        </w:rPr>
        <w:t>–</w:t>
      </w:r>
      <w:r w:rsidRPr="00E900C5">
        <w:rPr>
          <w:rFonts w:ascii="Arial" w:hAnsi="Arial" w:hint="cs"/>
          <w:b/>
          <w:bCs/>
          <w:noProof w:val="0"/>
          <w:rtl/>
        </w:rPr>
        <w:t xml:space="preserve"> שלושתם </w:t>
      </w:r>
      <w:r w:rsidRPr="00E900C5">
        <w:rPr>
          <w:rFonts w:ascii="Arial" w:hAnsi="Arial"/>
          <w:b/>
          <w:bCs/>
          <w:noProof w:val="0"/>
          <w:rtl/>
        </w:rPr>
        <w:t>–</w:t>
      </w:r>
      <w:r w:rsidRPr="00E900C5">
        <w:rPr>
          <w:rFonts w:ascii="Arial" w:hAnsi="Arial" w:hint="cs"/>
          <w:b/>
          <w:bCs/>
          <w:noProof w:val="0"/>
          <w:rtl/>
        </w:rPr>
        <w:t xml:space="preserve"> לא אמרו לי דבר מן הדברים שנטענים על ידם עתה בכתב התביעה, קרי: כי התובעת אינה מבינה או אינה קוראת בעברית או שהיא אינה</w:t>
      </w:r>
      <w:r>
        <w:rPr>
          <w:rFonts w:ascii="Arial" w:hAnsi="Arial" w:hint="cs"/>
          <w:b/>
          <w:bCs/>
          <w:noProof w:val="0"/>
          <w:rtl/>
        </w:rPr>
        <w:t xml:space="preserve"> במצב ב</w:t>
      </w:r>
      <w:r w:rsidRPr="00E900C5">
        <w:rPr>
          <w:rFonts w:ascii="Arial" w:hAnsi="Arial" w:hint="cs"/>
          <w:b/>
          <w:bCs/>
          <w:noProof w:val="0"/>
          <w:rtl/>
        </w:rPr>
        <w:t>ו</w:t>
      </w:r>
      <w:r>
        <w:rPr>
          <w:rFonts w:ascii="Arial" w:hAnsi="Arial" w:hint="cs"/>
          <w:b/>
          <w:bCs/>
          <w:noProof w:val="0"/>
          <w:rtl/>
        </w:rPr>
        <w:t xml:space="preserve"> </w:t>
      </w:r>
      <w:r w:rsidRPr="00E900C5">
        <w:rPr>
          <w:rFonts w:ascii="Arial" w:hAnsi="Arial" w:hint="cs"/>
          <w:b/>
          <w:bCs/>
          <w:noProof w:val="0"/>
          <w:rtl/>
        </w:rPr>
        <w:t>היא מבינה על מה היא חותמת (לא באותו מעמד ולא בשום הזדמנות אחרת)</w:t>
      </w:r>
      <w:r>
        <w:rPr>
          <w:rFonts w:ascii="Arial" w:hAnsi="Arial" w:hint="cs"/>
          <w:noProof w:val="0"/>
          <w:rtl/>
        </w:rPr>
        <w:t xml:space="preserve">".  </w:t>
      </w:r>
    </w:p>
    <w:p w:rsidR="00FB4A98" w:rsidRDefault="00FB4A98" w:rsidP="00FB4A98">
      <w:pPr>
        <w:pStyle w:val="af1"/>
        <w:spacing w:line="360" w:lineRule="auto"/>
        <w:ind w:left="794"/>
        <w:jc w:val="both"/>
        <w:rPr>
          <w:rFonts w:ascii="Arial" w:hAnsi="Arial"/>
          <w:noProof w:val="0"/>
          <w:rtl/>
        </w:rPr>
      </w:pPr>
      <w:r>
        <w:rPr>
          <w:rFonts w:ascii="Arial" w:hAnsi="Arial" w:hint="cs"/>
          <w:noProof w:val="0"/>
          <w:rtl/>
        </w:rPr>
        <w:t>ובחקירתה (מיום 2.10.22, עמ' 134) העידה, שהיא (גלנץ) דיברה בעברית והתובעת "</w:t>
      </w:r>
      <w:r w:rsidRPr="00CE4777">
        <w:rPr>
          <w:rFonts w:ascii="Arial" w:hAnsi="Arial" w:hint="cs"/>
          <w:b/>
          <w:bCs/>
          <w:noProof w:val="0"/>
          <w:rtl/>
        </w:rPr>
        <w:t>שיתפה פעולה, זאת אומרת זה לא שהיא, לא היה המון שיח, אבל היא שיתפה והיא הבינה מה שאני אומרת...</w:t>
      </w:r>
      <w:r>
        <w:rPr>
          <w:rFonts w:ascii="Arial" w:hAnsi="Arial" w:hint="cs"/>
          <w:noProof w:val="0"/>
          <w:rtl/>
        </w:rPr>
        <w:t>", ובהמשך (עמ' 138): "</w:t>
      </w:r>
      <w:r w:rsidRPr="0051273D">
        <w:rPr>
          <w:rFonts w:ascii="Arial" w:hAnsi="Arial" w:hint="cs"/>
          <w:b/>
          <w:bCs/>
          <w:noProof w:val="0"/>
          <w:rtl/>
        </w:rPr>
        <w:t>עו"ד שחר: זאת אומרת את יודעת בעצם</w:t>
      </w:r>
      <w:r>
        <w:rPr>
          <w:rFonts w:ascii="Arial" w:hAnsi="Arial" w:hint="cs"/>
          <w:b/>
          <w:bCs/>
          <w:noProof w:val="0"/>
          <w:rtl/>
        </w:rPr>
        <w:t xml:space="preserve"> ששפת, שעברית זה לא שפת האם שלה? </w:t>
      </w:r>
      <w:r w:rsidRPr="0051273D">
        <w:rPr>
          <w:rFonts w:ascii="Arial" w:hAnsi="Arial" w:hint="cs"/>
          <w:b/>
          <w:bCs/>
          <w:noProof w:val="0"/>
          <w:rtl/>
        </w:rPr>
        <w:t xml:space="preserve"> גברת רבקה </w:t>
      </w:r>
      <w:r w:rsidRPr="0051273D">
        <w:rPr>
          <w:rFonts w:ascii="Arial" w:hAnsi="Arial" w:hint="cs"/>
          <w:noProof w:val="0"/>
          <w:rtl/>
        </w:rPr>
        <w:t>[גלנץ]</w:t>
      </w:r>
      <w:r w:rsidRPr="0051273D">
        <w:rPr>
          <w:rFonts w:ascii="Arial" w:hAnsi="Arial" w:hint="cs"/>
          <w:b/>
          <w:bCs/>
          <w:noProof w:val="0"/>
          <w:rtl/>
        </w:rPr>
        <w:t>: לא שפת האם שלה זה נכון, אבל זה היה ברמה נורמלית לאדם שלא נולד בארץ, לא משהו שאי אפשר לתקשר</w:t>
      </w:r>
      <w:r>
        <w:rPr>
          <w:rFonts w:ascii="Arial" w:hAnsi="Arial" w:hint="cs"/>
          <w:noProof w:val="0"/>
          <w:rtl/>
        </w:rPr>
        <w:t>...".</w:t>
      </w:r>
    </w:p>
    <w:p w:rsidR="00FB4A98" w:rsidRDefault="00FB4A98" w:rsidP="00FB4A98">
      <w:pPr>
        <w:pStyle w:val="af1"/>
        <w:spacing w:line="360" w:lineRule="auto"/>
        <w:ind w:left="794"/>
        <w:jc w:val="both"/>
        <w:rPr>
          <w:rFonts w:ascii="Arial" w:hAnsi="Arial"/>
          <w:noProof w:val="0"/>
          <w:rtl/>
        </w:rPr>
      </w:pPr>
    </w:p>
    <w:p w:rsidR="00FB4A98" w:rsidRDefault="00FB4A98" w:rsidP="00FB4A98">
      <w:pPr>
        <w:pStyle w:val="af1"/>
        <w:spacing w:line="360" w:lineRule="auto"/>
        <w:ind w:left="794"/>
        <w:jc w:val="both"/>
        <w:rPr>
          <w:rFonts w:ascii="Arial" w:hAnsi="Arial"/>
          <w:noProof w:val="0"/>
          <w:rtl/>
        </w:rPr>
      </w:pPr>
    </w:p>
    <w:p w:rsidR="00FB4A98" w:rsidRDefault="00FB4A98" w:rsidP="00FB4A98">
      <w:pPr>
        <w:pStyle w:val="af1"/>
        <w:spacing w:line="360" w:lineRule="auto"/>
        <w:ind w:left="794"/>
        <w:jc w:val="both"/>
        <w:rPr>
          <w:rFonts w:ascii="Arial" w:hAnsi="Arial"/>
          <w:noProof w:val="0"/>
          <w:rtl/>
        </w:rPr>
      </w:pPr>
    </w:p>
    <w:p w:rsidR="00FB4A98" w:rsidRDefault="00FB4A98" w:rsidP="00FB4A98">
      <w:pPr>
        <w:pStyle w:val="af1"/>
        <w:numPr>
          <w:ilvl w:val="1"/>
          <w:numId w:val="1"/>
        </w:numPr>
        <w:spacing w:line="360" w:lineRule="auto"/>
        <w:ind w:left="794" w:hanging="425"/>
        <w:jc w:val="both"/>
        <w:rPr>
          <w:rFonts w:ascii="Arial" w:hAnsi="Arial"/>
          <w:noProof w:val="0"/>
          <w:rtl/>
        </w:rPr>
      </w:pPr>
      <w:r>
        <w:rPr>
          <w:rFonts w:ascii="Arial" w:hAnsi="Arial" w:hint="cs"/>
          <w:noProof w:val="0"/>
          <w:rtl/>
        </w:rPr>
        <w:lastRenderedPageBreak/>
        <w:t xml:space="preserve">אודיה , שטיפלה בפתיחת החשבון של התובעת, העידה (סעיפים 6-5 לתצהירה): </w:t>
      </w:r>
    </w:p>
    <w:p w:rsidR="00FB4A98" w:rsidRDefault="00FB4A98" w:rsidP="00FB4A98">
      <w:pPr>
        <w:pStyle w:val="af1"/>
        <w:spacing w:line="360" w:lineRule="auto"/>
        <w:ind w:firstLine="74"/>
        <w:jc w:val="both"/>
        <w:rPr>
          <w:rFonts w:ascii="Arial" w:hAnsi="Arial"/>
          <w:b/>
          <w:bCs/>
          <w:noProof w:val="0"/>
          <w:rtl/>
        </w:rPr>
      </w:pPr>
      <w:r>
        <w:rPr>
          <w:rFonts w:ascii="Arial" w:hAnsi="Arial" w:hint="cs"/>
          <w:noProof w:val="0"/>
          <w:rtl/>
        </w:rPr>
        <w:t>"</w:t>
      </w:r>
      <w:r w:rsidRPr="0051273D">
        <w:rPr>
          <w:rFonts w:ascii="Arial" w:hAnsi="Arial" w:hint="cs"/>
          <w:b/>
          <w:bCs/>
          <w:noProof w:val="0"/>
          <w:rtl/>
        </w:rPr>
        <w:t>זכור לי היטב כי התובעת תקשרה בחופשיות בשפה העברית ולא אמרה לי שה</w:t>
      </w:r>
      <w:r>
        <w:rPr>
          <w:rFonts w:ascii="Arial" w:hAnsi="Arial" w:hint="cs"/>
          <w:b/>
          <w:bCs/>
          <w:noProof w:val="0"/>
          <w:rtl/>
        </w:rPr>
        <w:t>יא</w:t>
      </w:r>
      <w:r w:rsidRPr="0051273D">
        <w:rPr>
          <w:rFonts w:ascii="Arial" w:hAnsi="Arial" w:hint="cs"/>
          <w:b/>
          <w:bCs/>
          <w:noProof w:val="0"/>
          <w:rtl/>
        </w:rPr>
        <w:t xml:space="preserve"> אינה דוברת או אינה מבינה או אינה קוראת עברית. ההפך: במסגרת הליך פתיחת החשבון שאלתי את התובעת שאלות שונות (בעיקר בנושא פרטים אישיים ובנוגע לפעילות הצפויה בחשבון), והתובעת (שהייתה מלווה בבעלה) השיבה על השאלות ללא קושי וללא בעיות מיוחדות בשפה העברית</w:t>
      </w:r>
      <w:r>
        <w:rPr>
          <w:rFonts w:ascii="Arial" w:hAnsi="Arial" w:hint="cs"/>
          <w:b/>
          <w:bCs/>
          <w:noProof w:val="0"/>
          <w:rtl/>
        </w:rPr>
        <w:t>.</w:t>
      </w:r>
    </w:p>
    <w:p w:rsidR="00FB4A98" w:rsidRDefault="00FB4A98" w:rsidP="00FB4A98">
      <w:pPr>
        <w:pStyle w:val="af1"/>
        <w:spacing w:line="360" w:lineRule="auto"/>
        <w:jc w:val="both"/>
        <w:rPr>
          <w:rFonts w:ascii="Arial" w:hAnsi="Arial"/>
          <w:noProof w:val="0"/>
          <w:rtl/>
        </w:rPr>
      </w:pPr>
      <w:r>
        <w:rPr>
          <w:rFonts w:ascii="Arial" w:hAnsi="Arial" w:hint="cs"/>
          <w:b/>
          <w:bCs/>
          <w:noProof w:val="0"/>
          <w:rtl/>
        </w:rPr>
        <w:t xml:space="preserve">עוד זכור לי כי התובעת סיפרה (הכל בעברית) את תולדות חייה </w:t>
      </w:r>
      <w:r>
        <w:rPr>
          <w:rFonts w:ascii="Arial" w:hAnsi="Arial"/>
          <w:b/>
          <w:bCs/>
          <w:noProof w:val="0"/>
          <w:rtl/>
        </w:rPr>
        <w:t>–</w:t>
      </w:r>
      <w:r>
        <w:rPr>
          <w:rFonts w:ascii="Arial" w:hAnsi="Arial" w:hint="cs"/>
          <w:b/>
          <w:bCs/>
          <w:noProof w:val="0"/>
          <w:rtl/>
        </w:rPr>
        <w:t xml:space="preserve"> על ילדותה ברומניה על כך שבעלה חולה לב וכי הם נוסעים מעת לעת לבלגיה ועוד היא סיפרה לי שהיא באה לפתוח חשבון בסניף זה בעקבות המלצה של הבן שלה שגם עליו דיברה בגאווה</w:t>
      </w:r>
      <w:r>
        <w:rPr>
          <w:rFonts w:ascii="Arial" w:hAnsi="Arial" w:hint="cs"/>
          <w:noProof w:val="0"/>
          <w:rtl/>
        </w:rPr>
        <w:t>".</w:t>
      </w:r>
    </w:p>
    <w:p w:rsidR="00FB4A98" w:rsidRDefault="00FB4A98" w:rsidP="00FB4A98">
      <w:pPr>
        <w:pStyle w:val="af1"/>
        <w:spacing w:line="360" w:lineRule="auto"/>
        <w:jc w:val="both"/>
        <w:rPr>
          <w:rFonts w:ascii="Arial" w:hAnsi="Arial"/>
          <w:noProof w:val="0"/>
          <w:rtl/>
        </w:rPr>
      </w:pPr>
      <w:r w:rsidRPr="00884FFB">
        <w:rPr>
          <w:rFonts w:ascii="Arial" w:hAnsi="Arial" w:hint="cs"/>
          <w:noProof w:val="0"/>
          <w:rtl/>
        </w:rPr>
        <w:t>כן סיפרה (בסעיף 9), כי בשל היות התובע</w:t>
      </w:r>
      <w:r>
        <w:rPr>
          <w:rFonts w:ascii="Arial" w:hAnsi="Arial" w:hint="cs"/>
          <w:noProof w:val="0"/>
          <w:rtl/>
        </w:rPr>
        <w:t>ת בעלת אזרחות זרה, היא נדרשה למלא טופס הצהרה בדבר תושבות לצרכי מס, והיא מילאה את הטופס בכתב ידה "</w:t>
      </w:r>
      <w:r w:rsidRPr="00A714AF">
        <w:rPr>
          <w:rFonts w:ascii="Arial" w:hAnsi="Arial" w:hint="cs"/>
          <w:b/>
          <w:bCs/>
          <w:noProof w:val="0"/>
          <w:rtl/>
        </w:rPr>
        <w:t>וגם בשפה העברית</w:t>
      </w:r>
      <w:r>
        <w:rPr>
          <w:rFonts w:ascii="Arial" w:hAnsi="Arial" w:hint="cs"/>
          <w:noProof w:val="0"/>
          <w:rtl/>
        </w:rPr>
        <w:t xml:space="preserve">". </w:t>
      </w:r>
    </w:p>
    <w:p w:rsidR="00FB4A98" w:rsidRDefault="00FB4A98" w:rsidP="00FB4A98">
      <w:pPr>
        <w:pStyle w:val="af1"/>
        <w:spacing w:line="360" w:lineRule="auto"/>
        <w:jc w:val="both"/>
        <w:rPr>
          <w:rFonts w:ascii="Arial" w:hAnsi="Arial"/>
          <w:noProof w:val="0"/>
          <w:rtl/>
        </w:rPr>
      </w:pPr>
      <w:r>
        <w:rPr>
          <w:rFonts w:ascii="Arial" w:hAnsi="Arial" w:hint="cs"/>
          <w:noProof w:val="0"/>
          <w:rtl/>
        </w:rPr>
        <w:t xml:space="preserve">הטופס צורף (נספח 13). שם בעל החשבון (התובעת), מדינת הנפקת המסמך </w:t>
      </w:r>
      <w:r>
        <w:rPr>
          <w:rFonts w:ascii="Arial" w:hAnsi="Arial"/>
          <w:noProof w:val="0"/>
          <w:rtl/>
        </w:rPr>
        <w:t>–</w:t>
      </w:r>
      <w:r>
        <w:rPr>
          <w:rFonts w:ascii="Arial" w:hAnsi="Arial" w:hint="cs"/>
          <w:noProof w:val="0"/>
          <w:rtl/>
        </w:rPr>
        <w:t xml:space="preserve"> ישראל וכתובת המגורים נכתבו בעברית. בחקירתה (מיום 19.10.22, עמ' 291) העידה כי התובעת היא שמילאה בכתב ידה את הפרטים האלה, "</w:t>
      </w:r>
      <w:r w:rsidRPr="00191507">
        <w:rPr>
          <w:rFonts w:ascii="Arial" w:hAnsi="Arial" w:hint="cs"/>
          <w:b/>
          <w:bCs/>
          <w:noProof w:val="0"/>
          <w:rtl/>
        </w:rPr>
        <w:t>כל הטופס מהתחלה עד הסוף נתתי ללקוחה ריק, להשלים</w:t>
      </w:r>
      <w:r>
        <w:rPr>
          <w:rFonts w:ascii="Arial" w:hAnsi="Arial" w:hint="cs"/>
          <w:noProof w:val="0"/>
          <w:rtl/>
        </w:rPr>
        <w:t>".</w:t>
      </w:r>
    </w:p>
    <w:p w:rsidR="00FB4A98" w:rsidRDefault="00FB4A98" w:rsidP="00FB4A98">
      <w:pPr>
        <w:pStyle w:val="af1"/>
        <w:spacing w:line="360" w:lineRule="auto"/>
        <w:jc w:val="both"/>
        <w:rPr>
          <w:rFonts w:ascii="Arial" w:hAnsi="Arial"/>
          <w:noProof w:val="0"/>
          <w:rtl/>
        </w:rPr>
      </w:pPr>
    </w:p>
    <w:p w:rsidR="00FB4A98" w:rsidRDefault="00FB4A98" w:rsidP="00FB4A98">
      <w:pPr>
        <w:pStyle w:val="af1"/>
        <w:numPr>
          <w:ilvl w:val="1"/>
          <w:numId w:val="1"/>
        </w:numPr>
        <w:spacing w:line="360" w:lineRule="auto"/>
        <w:ind w:left="720" w:hanging="425"/>
        <w:jc w:val="both"/>
        <w:rPr>
          <w:rFonts w:ascii="Arial" w:hAnsi="Arial"/>
          <w:b/>
          <w:bCs/>
          <w:noProof w:val="0"/>
        </w:rPr>
      </w:pPr>
      <w:r>
        <w:rPr>
          <w:rFonts w:ascii="Arial" w:hAnsi="Arial" w:hint="cs"/>
          <w:noProof w:val="0"/>
          <w:rtl/>
        </w:rPr>
        <w:t>בכר, מנהל המחלקה העסקית בסניף, העיד (סעיף 34.3 בתצהירו): "</w:t>
      </w:r>
      <w:r w:rsidRPr="00424A5F">
        <w:rPr>
          <w:rFonts w:ascii="Arial" w:hAnsi="Arial" w:hint="cs"/>
          <w:b/>
          <w:bCs/>
          <w:noProof w:val="0"/>
          <w:rtl/>
        </w:rPr>
        <w:t xml:space="preserve">למיטב זכרוני אכן שוחחתי בטלפון עם </w:t>
      </w:r>
      <w:r w:rsidRPr="00424A5F">
        <w:rPr>
          <w:rFonts w:ascii="Arial" w:hAnsi="Arial" w:hint="cs"/>
          <w:noProof w:val="0"/>
          <w:rtl/>
        </w:rPr>
        <w:t xml:space="preserve">[התובעת] </w:t>
      </w:r>
      <w:r>
        <w:rPr>
          <w:rFonts w:ascii="Arial" w:hAnsi="Arial" w:hint="cs"/>
          <w:b/>
          <w:bCs/>
          <w:noProof w:val="0"/>
          <w:rtl/>
        </w:rPr>
        <w:t>לפני חתימת אחת הערבויות (ל</w:t>
      </w:r>
      <w:r w:rsidRPr="00424A5F">
        <w:rPr>
          <w:rFonts w:ascii="Arial" w:hAnsi="Arial" w:hint="cs"/>
          <w:b/>
          <w:bCs/>
          <w:noProof w:val="0"/>
          <w:rtl/>
        </w:rPr>
        <w:t>מיטב זכרוני הערבות מיום 7.6.18 אך אינני בטוח</w:t>
      </w:r>
      <w:r>
        <w:rPr>
          <w:rFonts w:ascii="Arial" w:hAnsi="Arial" w:hint="cs"/>
          <w:b/>
          <w:bCs/>
          <w:noProof w:val="0"/>
          <w:rtl/>
        </w:rPr>
        <w:t xml:space="preserve">) וזאת על מנת לוודא עימה כי היא מוכנה להגדיל את סכום הערבות והיא אכן אישרה זאת, כאשר אני התרשמתי שלא הייתה לה כל בעיית הבנה בנושא. כמובן שהשיחה עם </w:t>
      </w:r>
      <w:r w:rsidRPr="00785F5B">
        <w:rPr>
          <w:rFonts w:ascii="Arial" w:hAnsi="Arial" w:hint="cs"/>
          <w:noProof w:val="0"/>
          <w:rtl/>
        </w:rPr>
        <w:t>[התובעת]</w:t>
      </w:r>
      <w:r>
        <w:rPr>
          <w:rFonts w:ascii="Arial" w:hAnsi="Arial" w:hint="cs"/>
          <w:b/>
          <w:bCs/>
          <w:noProof w:val="0"/>
          <w:rtl/>
        </w:rPr>
        <w:t xml:space="preserve"> הייתה בשפה העברית (אני לא דובר צרפתית)".</w:t>
      </w:r>
    </w:p>
    <w:p w:rsidR="00FB4A98" w:rsidRDefault="00FB4A98" w:rsidP="00FB4A98">
      <w:pPr>
        <w:pStyle w:val="af1"/>
        <w:spacing w:line="360" w:lineRule="auto"/>
        <w:jc w:val="both"/>
        <w:rPr>
          <w:rFonts w:ascii="Arial" w:hAnsi="Arial"/>
          <w:noProof w:val="0"/>
          <w:rtl/>
        </w:rPr>
      </w:pPr>
      <w:r w:rsidRPr="00785F5B">
        <w:rPr>
          <w:rFonts w:ascii="Arial" w:hAnsi="Arial" w:hint="cs"/>
          <w:noProof w:val="0"/>
          <w:rtl/>
        </w:rPr>
        <w:t xml:space="preserve">וכן (סעיף 37): </w:t>
      </w:r>
    </w:p>
    <w:p w:rsidR="00FB4A98" w:rsidRDefault="00FB4A98" w:rsidP="00FB4A98">
      <w:pPr>
        <w:pStyle w:val="af1"/>
        <w:spacing w:line="360" w:lineRule="auto"/>
        <w:jc w:val="both"/>
        <w:rPr>
          <w:rFonts w:ascii="Arial" w:hAnsi="Arial"/>
          <w:noProof w:val="0"/>
          <w:rtl/>
        </w:rPr>
      </w:pPr>
      <w:r>
        <w:rPr>
          <w:rFonts w:ascii="Arial" w:hAnsi="Arial" w:hint="cs"/>
          <w:noProof w:val="0"/>
          <w:rtl/>
        </w:rPr>
        <w:t>"</w:t>
      </w:r>
      <w:r w:rsidRPr="00413661">
        <w:rPr>
          <w:rFonts w:ascii="Arial" w:hAnsi="Arial" w:hint="cs"/>
          <w:b/>
          <w:bCs/>
          <w:noProof w:val="0"/>
          <w:rtl/>
        </w:rPr>
        <w:t>אדגיש כי התובעת, התובע וכן בנם [</w:t>
      </w:r>
      <w:r w:rsidRPr="00413661">
        <w:rPr>
          <w:rFonts w:ascii="Arial" w:hAnsi="Arial" w:hint="cs"/>
          <w:noProof w:val="0"/>
          <w:rtl/>
        </w:rPr>
        <w:t>ב'</w:t>
      </w:r>
      <w:r w:rsidRPr="00413661">
        <w:rPr>
          <w:rFonts w:ascii="Arial" w:hAnsi="Arial" w:hint="cs"/>
          <w:b/>
          <w:bCs/>
          <w:noProof w:val="0"/>
          <w:rtl/>
        </w:rPr>
        <w:t xml:space="preserve">] </w:t>
      </w:r>
      <w:r w:rsidRPr="00413661">
        <w:rPr>
          <w:rFonts w:ascii="Arial" w:hAnsi="Arial"/>
          <w:b/>
          <w:bCs/>
          <w:noProof w:val="0"/>
          <w:rtl/>
        </w:rPr>
        <w:t>–</w:t>
      </w:r>
      <w:r w:rsidRPr="00413661">
        <w:rPr>
          <w:rFonts w:ascii="Arial" w:hAnsi="Arial" w:hint="cs"/>
          <w:b/>
          <w:bCs/>
          <w:noProof w:val="0"/>
          <w:rtl/>
        </w:rPr>
        <w:t xml:space="preserve"> שלושתם </w:t>
      </w:r>
      <w:r w:rsidRPr="00413661">
        <w:rPr>
          <w:rFonts w:ascii="Arial" w:hAnsi="Arial"/>
          <w:b/>
          <w:bCs/>
          <w:noProof w:val="0"/>
          <w:rtl/>
        </w:rPr>
        <w:t>–</w:t>
      </w:r>
      <w:r w:rsidRPr="00413661">
        <w:rPr>
          <w:rFonts w:ascii="Arial" w:hAnsi="Arial" w:hint="cs"/>
          <w:b/>
          <w:bCs/>
          <w:noProof w:val="0"/>
          <w:rtl/>
        </w:rPr>
        <w:t xml:space="preserve"> לא אמרו לי מעולם דבר מן הדברים שנטענים על ידם עתה בכתב התביעה, קרי: כי התובעת אינה מבינה או אינה קוראת בעברית או שהיא אינה במצב בו היא מבינה על מה היא חותמת (לא באותה פגישה, לא בשיחה הטלפונית שקיימנו, ולא באף הזדמנות אחרת</w:t>
      </w:r>
      <w:r>
        <w:rPr>
          <w:rFonts w:ascii="Arial" w:hAnsi="Arial" w:hint="cs"/>
          <w:noProof w:val="0"/>
          <w:rtl/>
        </w:rPr>
        <w:t xml:space="preserve">)". </w:t>
      </w:r>
    </w:p>
    <w:p w:rsidR="00FB4A98" w:rsidRDefault="00FB4A98" w:rsidP="00FB4A98">
      <w:pPr>
        <w:pStyle w:val="af1"/>
        <w:spacing w:line="360" w:lineRule="auto"/>
        <w:jc w:val="both"/>
        <w:rPr>
          <w:rFonts w:ascii="Arial" w:hAnsi="Arial"/>
          <w:noProof w:val="0"/>
          <w:rtl/>
        </w:rPr>
      </w:pPr>
      <w:r>
        <w:rPr>
          <w:rFonts w:ascii="Arial" w:hAnsi="Arial" w:hint="cs"/>
          <w:noProof w:val="0"/>
          <w:rtl/>
        </w:rPr>
        <w:t>ובחקירתו (מיום 19.10.22, עמ' 345) הוסיף: "</w:t>
      </w:r>
      <w:r w:rsidRPr="00413661">
        <w:rPr>
          <w:rFonts w:ascii="Arial" w:hAnsi="Arial" w:hint="cs"/>
          <w:b/>
          <w:bCs/>
          <w:noProof w:val="0"/>
          <w:rtl/>
        </w:rPr>
        <w:t>והגברת [</w:t>
      </w:r>
      <w:r w:rsidRPr="00413661">
        <w:rPr>
          <w:rFonts w:ascii="Arial" w:hAnsi="Arial" w:hint="cs"/>
          <w:noProof w:val="0"/>
          <w:rtl/>
        </w:rPr>
        <w:t>התובעת</w:t>
      </w:r>
      <w:r w:rsidRPr="00413661">
        <w:rPr>
          <w:rFonts w:ascii="Arial" w:hAnsi="Arial" w:hint="cs"/>
          <w:b/>
          <w:bCs/>
          <w:noProof w:val="0"/>
          <w:rtl/>
        </w:rPr>
        <w:t>] יודעת עברית, אני דיברתי איתה</w:t>
      </w:r>
      <w:r>
        <w:rPr>
          <w:rFonts w:ascii="Arial" w:hAnsi="Arial" w:hint="cs"/>
          <w:noProof w:val="0"/>
          <w:rtl/>
        </w:rPr>
        <w:t xml:space="preserve">". </w:t>
      </w:r>
    </w:p>
    <w:p w:rsidR="00FB4A98" w:rsidRDefault="00FB4A98" w:rsidP="00FB4A98">
      <w:pPr>
        <w:pStyle w:val="af1"/>
        <w:spacing w:line="360" w:lineRule="auto"/>
        <w:jc w:val="both"/>
        <w:rPr>
          <w:rFonts w:ascii="Arial" w:hAnsi="Arial"/>
          <w:noProof w:val="0"/>
          <w:rtl/>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עדויות עדי הנתבע בקשר לשיחות שהתנהלו בינם ובין התובעים בשפה העברית לא נסתרו והיו אמינות. </w:t>
      </w:r>
    </w:p>
    <w:p w:rsidR="00FB4A98" w:rsidRDefault="00FB4A98" w:rsidP="00FB4A98">
      <w:pPr>
        <w:pStyle w:val="af1"/>
        <w:spacing w:line="360" w:lineRule="auto"/>
        <w:ind w:left="369"/>
        <w:jc w:val="both"/>
        <w:rPr>
          <w:rFonts w:ascii="Arial" w:hAnsi="Arial"/>
          <w:noProof w:val="0"/>
        </w:rPr>
      </w:pPr>
      <w:r>
        <w:rPr>
          <w:rFonts w:ascii="Arial" w:hAnsi="Arial" w:hint="cs"/>
          <w:noProof w:val="0"/>
          <w:rtl/>
        </w:rPr>
        <w:lastRenderedPageBreak/>
        <w:t xml:space="preserve">העולה מהאמור לעיל הוא, כי התובעים, התובע במידה מסוימת יותר מהתובעת, הבינו ודברו עברית במידה כזו שהיו מסוגלים, לכל הפחות, להבין כי התובעת חותמת על מסמכי ערבות עבור החַבַרות הקשורות לבנם ב' וכן את סכומי הערבויות שצוינו גם בספַרות, כלומר: הבינו את המרכיבים העיקריים של מסמכי הערבויות: ערבות, להבטחת חובות החַבַרות הקשורות לבנם ב' וסכומי הערבויות.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אמנם, אני מאמין לתובעים שהם לא הבינו את כל שנכתב במסמכי הערבויות, בין משום שהם אינם יודעים ממש לקרוא ולכתוב בשפה העברית (התובע לדבריו, סעיף 2 לתצהירו, יודע לקרוא בסדור התפילה בלבד והתובעת, כאמור לעיל, יודעת לכתוב מילים אחדות, לפחות) ובין משום שתוכן המסמכים הללו אינו פשוט גם למי שיודע קרוא וכתוב עברית (השוו: ח"א (י-ם) 8002/02 </w:t>
      </w:r>
      <w:r w:rsidRPr="006B29F9">
        <w:rPr>
          <w:rFonts w:ascii="Arial" w:hAnsi="Arial" w:hint="cs"/>
          <w:b/>
          <w:bCs/>
          <w:noProof w:val="0"/>
          <w:rtl/>
        </w:rPr>
        <w:t>המפקח על הבנקים נ' הבנק הבינלאומי הראשון למשכנתאות בע"מ</w:t>
      </w:r>
      <w:r>
        <w:rPr>
          <w:rFonts w:ascii="Arial" w:hAnsi="Arial" w:hint="cs"/>
          <w:noProof w:val="0"/>
          <w:rtl/>
        </w:rPr>
        <w:t>, 05.05.2009, פסקה 156).</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בין כה וכה, אין בכך שהתובעים לא הבינו, אולי גם לא היו מסוגלים להבין את כל הכתוב במסמכי הערבויות, כדי לבטל את ערבותה של התובעת שכן, "</w:t>
      </w:r>
      <w:r w:rsidRPr="006B29F9">
        <w:rPr>
          <w:rFonts w:ascii="Arial" w:hAnsi="Arial"/>
          <w:b/>
          <w:bCs/>
          <w:noProof w:val="0"/>
          <w:rtl/>
        </w:rPr>
        <w:t>טענת "לא נעשה דבר" מתייחסת למצב בו הונע החותם לחשוב כי המסמך הוא בעל מהות בסיסית שונה ממה שהוא לאמיתו של דבר. טענה זו לא תתקבל מקום בו החתימה היא על מסמך הנוגע לעיסקה מאותו סוג שהחותם חפץ בה, כאשר החותם טעה או הוטעה לגבי פרטי העיסקה שאינם תואמים את העיסקה שהוא דימה לעשותה. יובהר בהקשר זה כי אדם החותם על מסמך בלא לדעת את תוכנו לא יישמע בטענה שלא קרא את המסמך ולא ידע על מה חתם ולמה התחייב, שכן חזקה עליו שחתם לאות הסכמתו, יהא תוכן המסמך אשר יהא (וראו: ע"א  467/64 שוייץ נ' סנדור, פ"ד יט, 113, 117 (1965); ע"א 413/79 אדלר חברה לבנין בע"מ נ' מנצור, פ"ד לד(4), 29, 38 (1980); ע"א 8163/05 הדר חברה לביטוח בע"מ נ' פלוני (לא פורסם, 6.8.2007), סעיפים 30-27 לפסק הדין</w:t>
      </w:r>
      <w:r>
        <w:rPr>
          <w:rFonts w:ascii="Arial" w:hAnsi="Arial" w:hint="cs"/>
          <w:noProof w:val="0"/>
          <w:rtl/>
        </w:rPr>
        <w:t xml:space="preserve">." </w:t>
      </w:r>
      <w:r w:rsidRPr="006B29F9">
        <w:rPr>
          <w:rFonts w:ascii="Arial" w:hAnsi="Arial" w:hint="cs"/>
          <w:noProof w:val="0"/>
          <w:rtl/>
        </w:rPr>
        <w:t>(</w:t>
      </w:r>
      <w:r w:rsidRPr="006B29F9">
        <w:rPr>
          <w:rFonts w:ascii="Arial" w:hAnsi="Arial"/>
          <w:noProof w:val="0"/>
          <w:rtl/>
        </w:rPr>
        <w:t xml:space="preserve">ע"א 2731-07 </w:t>
      </w:r>
      <w:r w:rsidRPr="006B29F9">
        <w:rPr>
          <w:rFonts w:ascii="Arial" w:hAnsi="Arial"/>
          <w:b/>
          <w:bCs/>
          <w:noProof w:val="0"/>
          <w:rtl/>
        </w:rPr>
        <w:t>אסעד יוסף חמוד נ' סעיד חטאר חאג'</w:t>
      </w:r>
      <w:r w:rsidRPr="006B29F9">
        <w:rPr>
          <w:rFonts w:ascii="Arial" w:hAnsi="Arial" w:hint="cs"/>
          <w:noProof w:val="0"/>
          <w:rtl/>
        </w:rPr>
        <w:t xml:space="preserve"> ( 29.3.2009), פסקה 35)</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הלכה זו כוחה יפה, וביתר שאת, כאשר עניין לנו במסמכים בעלי חשיבות, שכן, ההיגיון מחייב כי החתימה עליהם לא תיעשה בהיסח דעת (ע"א 1319/06 </w:t>
      </w:r>
      <w:r w:rsidRPr="006A16E8">
        <w:rPr>
          <w:rFonts w:ascii="Arial" w:hAnsi="Arial"/>
          <w:b/>
          <w:bCs/>
          <w:noProof w:val="0"/>
          <w:rtl/>
        </w:rPr>
        <w:t>משה שלק</w:t>
      </w:r>
      <w:r w:rsidRPr="006A16E8">
        <w:rPr>
          <w:rFonts w:ascii="Arial" w:hAnsi="Arial"/>
          <w:noProof w:val="0"/>
          <w:rtl/>
        </w:rPr>
        <w:t> נ</w:t>
      </w:r>
      <w:r w:rsidRPr="006A16E8">
        <w:rPr>
          <w:rFonts w:ascii="Arial" w:hAnsi="Arial"/>
          <w:noProof w:val="0"/>
        </w:rPr>
        <w:t>' </w:t>
      </w:r>
      <w:r w:rsidRPr="006A16E8">
        <w:rPr>
          <w:rFonts w:ascii="Arial" w:hAnsi="Arial"/>
          <w:b/>
          <w:bCs/>
          <w:noProof w:val="0"/>
          <w:rtl/>
        </w:rPr>
        <w:t>טנא נגה (שווק) 1981 בע"מ</w:t>
      </w:r>
      <w:r>
        <w:rPr>
          <w:rFonts w:ascii="Arial" w:hAnsi="Arial" w:hint="cs"/>
          <w:noProof w:val="0"/>
          <w:rtl/>
        </w:rPr>
        <w:t xml:space="preserve"> (20.3.2007), פסקה 11, וכן ראו: ע"א 8242/05 </w:t>
      </w:r>
      <w:r w:rsidRPr="009E6BC6">
        <w:rPr>
          <w:rFonts w:ascii="Arial" w:hAnsi="Arial" w:hint="cs"/>
          <w:b/>
          <w:bCs/>
          <w:noProof w:val="0"/>
          <w:rtl/>
        </w:rPr>
        <w:t>דואק נ' בנק דיסקונט למשכנתאות בע"מ</w:t>
      </w:r>
      <w:r>
        <w:rPr>
          <w:rFonts w:ascii="Arial" w:hAnsi="Arial" w:hint="cs"/>
          <w:noProof w:val="0"/>
          <w:rtl/>
        </w:rPr>
        <w:t xml:space="preserve"> (14.11.2005), פסקה 3; ע"א 8533/06 </w:t>
      </w:r>
      <w:r w:rsidRPr="009E6BC6">
        <w:rPr>
          <w:rFonts w:ascii="Arial" w:hAnsi="Arial" w:hint="cs"/>
          <w:b/>
          <w:bCs/>
          <w:noProof w:val="0"/>
          <w:rtl/>
        </w:rPr>
        <w:t>גילמן נ' בנק הפועלים אמריקאי ישראלי בע"מ</w:t>
      </w:r>
      <w:r>
        <w:rPr>
          <w:rFonts w:ascii="Arial" w:hAnsi="Arial" w:hint="cs"/>
          <w:noProof w:val="0"/>
          <w:rtl/>
        </w:rPr>
        <w:t xml:space="preserve"> (5.8.2008), פסקה 5). </w:t>
      </w:r>
    </w:p>
    <w:p w:rsidR="00FB4A98" w:rsidRPr="006A16E8" w:rsidRDefault="00FB4A98" w:rsidP="00FB4A98">
      <w:pPr>
        <w:pStyle w:val="af1"/>
        <w:spacing w:line="360" w:lineRule="auto"/>
        <w:ind w:left="369"/>
        <w:jc w:val="both"/>
        <w:rPr>
          <w:rFonts w:ascii="Arial" w:hAnsi="Arial"/>
          <w:noProof w:val="0"/>
        </w:rPr>
      </w:pPr>
      <w:r>
        <w:rPr>
          <w:rFonts w:ascii="Arial" w:hAnsi="Arial" w:hint="cs"/>
          <w:noProof w:val="0"/>
          <w:rtl/>
        </w:rPr>
        <w:t xml:space="preserve">כמו-כן, גם אי-ידיעת השפה שבה נכתב המסמך לא תועיל למי שחתם עליו, כשהוא יכול היה לבקש הסבר על הפרטים הכתובים בו ונמנע מלעשות כן (ע"א 265/70 </w:t>
      </w:r>
      <w:r w:rsidRPr="00F31E8E">
        <w:rPr>
          <w:rFonts w:ascii="Arial" w:hAnsi="Arial" w:hint="cs"/>
          <w:b/>
          <w:bCs/>
          <w:noProof w:val="0"/>
          <w:rtl/>
        </w:rPr>
        <w:t>לוי נ' דאגר</w:t>
      </w:r>
      <w:r>
        <w:rPr>
          <w:rFonts w:ascii="Arial" w:hAnsi="Arial" w:hint="cs"/>
          <w:noProof w:val="0"/>
          <w:rtl/>
        </w:rPr>
        <w:t xml:space="preserve">, פ"ד כה(1) 344,349). </w:t>
      </w:r>
    </w:p>
    <w:p w:rsidR="00FB4A98" w:rsidRPr="006A16E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בענייננו, אין חולק, התובעת לוותה בכל מעמדי החתימות על המסמכים הנדונים: פתיחת החשבון והערבויות, על-ידי בעלה, עליו היא סמכה לחלוטין, כפי שעולה מתמלול שיחתו של </w:t>
      </w:r>
      <w:r>
        <w:rPr>
          <w:rFonts w:ascii="Arial" w:hAnsi="Arial" w:hint="cs"/>
          <w:noProof w:val="0"/>
          <w:rtl/>
        </w:rPr>
        <w:lastRenderedPageBreak/>
        <w:t>נגאוקר עמה מיום 27.3.2018 (נספח 56), שבה הוא התעקש לקבל את אישורה להשקעה מסוימת בכספי חשבונה (עמ' 6): "</w:t>
      </w:r>
      <w:r w:rsidRPr="009E6BC6">
        <w:rPr>
          <w:rFonts w:ascii="Arial" w:hAnsi="Arial" w:hint="cs"/>
          <w:b/>
          <w:bCs/>
          <w:noProof w:val="0"/>
          <w:rtl/>
        </w:rPr>
        <w:t>אני מוכנה לכל דבר, מה שבעלי אמר כן... אבל [כ]שבעלי אמר כן אז בשבילי זה טוב</w:t>
      </w:r>
      <w:r>
        <w:rPr>
          <w:rFonts w:ascii="Arial" w:hAnsi="Arial" w:hint="cs"/>
          <w:noProof w:val="0"/>
          <w:rtl/>
        </w:rPr>
        <w:t xml:space="preserve">" (במאמר מסגרת אוסיף, כי תמליל השיחה שנערכה לאחר חתימת שני הערבויות הראשונות בחודש ינואר 2018 אינו מתיישב עם הטענה לחוסר הבנה קוגניטיבית של התובעת באותה עת).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בדומה לכך נקבע, שכאשר אדם נמנע מלקרוא מסמך שהוגש ל לחתימה, מתוך אמון בבן/בת זוגו ומתוך נכונות לחתום על כל מסמך לפי שיקול דעתו, הדבר שולל טענות אפסות (ע"א 1548/96 </w:t>
      </w:r>
      <w:r w:rsidRPr="00F6289B">
        <w:rPr>
          <w:rFonts w:ascii="Arial" w:hAnsi="Arial" w:hint="cs"/>
          <w:b/>
          <w:bCs/>
          <w:noProof w:val="0"/>
          <w:rtl/>
        </w:rPr>
        <w:t>בנק איגוד לישראל בע"מ נ' לופו</w:t>
      </w:r>
      <w:r>
        <w:rPr>
          <w:rFonts w:ascii="Arial" w:hAnsi="Arial" w:hint="cs"/>
          <w:noProof w:val="0"/>
          <w:rtl/>
        </w:rPr>
        <w:t xml:space="preserve">, פ"ד נד(2) 559, 574).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מלבד כך, התובעים היו מלווים בדרך-כלל, כולל במעמד פתיחת חשבון התובעת (כך אישר ב' בחקירתו מיום 27.2.22, עמ' 85), וכפי שיפורט להלן גם במעמד החתימה על הערבות השלישית (הערבות העיקרית שמומשה), על-ידי בנה ב', שאין חולק שהוא דובר היטב עברית וצרפתית, והיה יכול להסביר להוריו, ובעיקר לאמו התובעת, כל דבר שהיא הייתה מעוניינת לברר.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בקשר לכך יודגש עוד, שגם התובע וגם התובעת הם אנשים משכילים.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לפי עדות התובע (מיום 13.3.2022) הוא בוגר אוניברסיטה ואשתו התובעת עבדה כאחות עד גיל 50 (עמ' 21) והתובע אף היה איש עסקים מנוסה, בעלים של חברה שהעסיקה 30 פועלים שעסקה בייבוא ויצוא של יהלומים (עמ' 20).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ובאשר לב', העידו נגאוקר (בעדותו מיום 19.10.22, עמ' 264) ובכר (בעדות מאותו היום, עמ' 307), כי הוא סיפר להם שעבר בעבר בבנק (לא בבנק הנתבע). ב' לא הכחיש זאת.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למעשה, מלבד הטענה לאי-גילוי נאות בדבר מצבן הכלכלי של החַבַרות החייבות (אליה אתייחס להלן), לא צוין ולא פורט, לא בכתב התביעה, לא בתצהירי התובעים ולא בסיכומים, איזה פרט מהפרטים שבמסמכי הערבות לא הובן על ידם או באיזה פרט הם הוטעו. </w:t>
      </w:r>
    </w:p>
    <w:p w:rsidR="00FB4A98" w:rsidRDefault="00FB4A98" w:rsidP="00FB4A98">
      <w:pPr>
        <w:spacing w:line="360" w:lineRule="auto"/>
        <w:ind w:left="369"/>
        <w:jc w:val="both"/>
        <w:rPr>
          <w:rFonts w:ascii="Arial" w:hAnsi="Arial"/>
          <w:noProof w:val="0"/>
          <w:rtl/>
        </w:rPr>
      </w:pPr>
      <w:r>
        <w:rPr>
          <w:rFonts w:ascii="Arial" w:hAnsi="Arial" w:hint="cs"/>
          <w:noProof w:val="0"/>
          <w:rtl/>
        </w:rPr>
        <w:t>סכומי הערבויות צוינו בסְפַרות, "</w:t>
      </w:r>
      <w:r w:rsidRPr="00CE4FD7">
        <w:rPr>
          <w:rFonts w:ascii="Arial" w:hAnsi="Arial" w:hint="cs"/>
          <w:b/>
          <w:bCs/>
          <w:noProof w:val="0"/>
          <w:rtl/>
        </w:rPr>
        <w:t>בצורה מאוד ברורה</w:t>
      </w:r>
      <w:r>
        <w:rPr>
          <w:rFonts w:ascii="Arial" w:hAnsi="Arial" w:hint="cs"/>
          <w:noProof w:val="0"/>
          <w:rtl/>
        </w:rPr>
        <w:t xml:space="preserve">" כעדותה של גלנץ (2.10.22, עמ' 134) והתובעת חתמה בנפרד גם ליד הסכום. </w:t>
      </w:r>
    </w:p>
    <w:p w:rsidR="00FB4A98" w:rsidRDefault="00FB4A98" w:rsidP="00FB4A98">
      <w:pPr>
        <w:spacing w:line="360" w:lineRule="auto"/>
        <w:ind w:left="369"/>
        <w:jc w:val="both"/>
        <w:rPr>
          <w:rFonts w:ascii="Arial" w:hAnsi="Arial"/>
          <w:noProof w:val="0"/>
          <w:rtl/>
        </w:rPr>
      </w:pPr>
      <w:r>
        <w:rPr>
          <w:rFonts w:ascii="Arial" w:hAnsi="Arial" w:hint="cs"/>
          <w:noProof w:val="0"/>
          <w:rtl/>
        </w:rPr>
        <w:t xml:space="preserve">להלן, ארחיב ביחס למעמד חתימותיה של התובעת על כל אחד מהערבויות הנדונות. </w:t>
      </w:r>
    </w:p>
    <w:p w:rsidR="00FB4A98" w:rsidRPr="00554AF2" w:rsidRDefault="00FB4A98" w:rsidP="00FB4A98">
      <w:pPr>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סיכום פרק זה הוא, שלא נמצא כל ממצא שיתמוך בטענות התובעים בדבר בַטלות הערבות בשל אי-הבנת השפה העברית או בשל טעם נראה אחר, הקשור להבנת התובעת ביחס למטרת מסמכי הערבויות שנחתמו על ידה או ביחס לסכומי הערבויות הנקובים בהם או ביחס לכל פרט מהותי רלבנטי אחר. </w:t>
      </w:r>
    </w:p>
    <w:p w:rsidR="00FB4A98" w:rsidRDefault="00FB4A98" w:rsidP="00FB4A98">
      <w:pPr>
        <w:spacing w:line="360" w:lineRule="auto"/>
        <w:ind w:left="9"/>
        <w:jc w:val="both"/>
        <w:rPr>
          <w:rFonts w:ascii="Arial" w:hAnsi="Arial"/>
          <w:noProof w:val="0"/>
          <w:rtl/>
        </w:rPr>
      </w:pPr>
    </w:p>
    <w:p w:rsidR="00FB4A98" w:rsidRDefault="00FB4A98" w:rsidP="00FB4A98">
      <w:pPr>
        <w:spacing w:line="360" w:lineRule="auto"/>
        <w:ind w:left="9"/>
        <w:jc w:val="both"/>
        <w:rPr>
          <w:rFonts w:ascii="Arial" w:hAnsi="Arial"/>
          <w:noProof w:val="0"/>
          <w:rtl/>
        </w:rPr>
      </w:pPr>
    </w:p>
    <w:p w:rsidR="00FB4A98" w:rsidRDefault="00FB4A98" w:rsidP="00FB4A98">
      <w:pPr>
        <w:spacing w:line="360" w:lineRule="auto"/>
        <w:ind w:left="9"/>
        <w:jc w:val="both"/>
        <w:rPr>
          <w:rFonts w:ascii="Arial" w:hAnsi="Arial"/>
          <w:b/>
          <w:bCs/>
          <w:noProof w:val="0"/>
          <w:u w:val="single"/>
          <w:rtl/>
        </w:rPr>
      </w:pPr>
      <w:r w:rsidRPr="00525A5A">
        <w:rPr>
          <w:rFonts w:ascii="Arial" w:hAnsi="Arial" w:hint="cs"/>
          <w:b/>
          <w:bCs/>
          <w:noProof w:val="0"/>
          <w:u w:val="single"/>
          <w:rtl/>
        </w:rPr>
        <w:lastRenderedPageBreak/>
        <w:t xml:space="preserve">הטענה לחוסר גילוי נאות ביחס למצב הכלכלי של החַבַרות </w:t>
      </w:r>
    </w:p>
    <w:p w:rsidR="00FB4A98" w:rsidRPr="00525A5A" w:rsidRDefault="00FB4A98" w:rsidP="00FB4A98">
      <w:pPr>
        <w:spacing w:line="360" w:lineRule="auto"/>
        <w:ind w:left="9"/>
        <w:jc w:val="both"/>
        <w:rPr>
          <w:rFonts w:ascii="Arial" w:hAnsi="Arial"/>
          <w:b/>
          <w:bCs/>
          <w:noProof w:val="0"/>
          <w:u w:val="single"/>
        </w:rPr>
      </w:pPr>
    </w:p>
    <w:p w:rsidR="00FB4A98" w:rsidRPr="00525A5A" w:rsidRDefault="00FB4A98" w:rsidP="00FB4A98">
      <w:pPr>
        <w:pStyle w:val="af1"/>
        <w:numPr>
          <w:ilvl w:val="0"/>
          <w:numId w:val="1"/>
        </w:numPr>
        <w:spacing w:line="360" w:lineRule="auto"/>
        <w:ind w:left="369"/>
        <w:jc w:val="both"/>
        <w:rPr>
          <w:rFonts w:ascii="Arial" w:hAnsi="Arial"/>
          <w:noProof w:val="0"/>
          <w:rtl/>
        </w:rPr>
      </w:pPr>
      <w:r>
        <w:rPr>
          <w:rFonts w:ascii="Arial" w:hAnsi="Arial" w:hint="cs"/>
          <w:noProof w:val="0"/>
          <w:rtl/>
        </w:rPr>
        <w:t>טענה זו נסמכה על חוות דעתו של אֶברון שבדק את המסמכים הבנקאיים הנוגעים לבלאק קיוב ומסקנתו הייתה כי "</w:t>
      </w:r>
      <w:r w:rsidRPr="00525A5A">
        <w:rPr>
          <w:rFonts w:ascii="Arial" w:hAnsi="Arial" w:hint="cs"/>
          <w:b/>
          <w:bCs/>
          <w:noProof w:val="0"/>
          <w:rtl/>
        </w:rPr>
        <w:t xml:space="preserve">טרם חתמה התובעת (הערבה) על שלושת (3) כתבי הערבות כאמור, הוסתר ממנה מידע מהותי ו"נקודות אדומות" אודות הפעילות החריגה בחשבונות הבנק של בלאק קיוב לרבות ביחס למסגרת הניכיונות והיקפם (בלאק קיוב נהגה ליטול הלוואות כנגד שיקים שאינם סחירים, ולעיתים השיקים שניתנו להבטחת החזק ההלוואות לא הוצגו לפירעון בחשבון בלאק קיוב), החריגות </w:t>
      </w:r>
      <w:r>
        <w:rPr>
          <w:rFonts w:ascii="Arial" w:hAnsi="Arial" w:hint="cs"/>
          <w:b/>
          <w:bCs/>
          <w:noProof w:val="0"/>
          <w:rtl/>
        </w:rPr>
        <w:t>מ</w:t>
      </w:r>
      <w:r w:rsidRPr="00525A5A">
        <w:rPr>
          <w:rFonts w:ascii="Arial" w:hAnsi="Arial" w:hint="cs"/>
          <w:b/>
          <w:bCs/>
          <w:noProof w:val="0"/>
          <w:rtl/>
        </w:rPr>
        <w:t xml:space="preserve">מסגרות האשראי המאושרות, והעובדה שהבנק העמיד </w:t>
      </w:r>
      <w:r>
        <w:rPr>
          <w:rFonts w:ascii="Arial" w:hAnsi="Arial" w:hint="cs"/>
          <w:b/>
          <w:bCs/>
          <w:noProof w:val="0"/>
          <w:rtl/>
        </w:rPr>
        <w:t>לטובת החברה מסגרת אשראי חד צדדית</w:t>
      </w:r>
      <w:r w:rsidRPr="00525A5A">
        <w:rPr>
          <w:rFonts w:ascii="Arial" w:hAnsi="Arial" w:hint="cs"/>
          <w:b/>
          <w:bCs/>
          <w:noProof w:val="0"/>
          <w:rtl/>
        </w:rPr>
        <w:t xml:space="preserve"> עקב החריגות ממסגרת האשראי. מידע זה הינו מידע מהותי שעל הבנק קמה חובה לגלות ולהמציא לערבה טרם חתימתה על כתבי הערבות</w:t>
      </w:r>
      <w:r w:rsidRPr="00525A5A">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אלא, שבחקירתו (מיום 27.2.22) אברון התקשה להשיב על שאלות בסיסיות הקשורות להערכת מצבה הכלכלי של החברה, כמו: מהו סכום האשראי שהועמד כנגד השיקים הסחירים והבלתי סחירים שהחברה הפקידה בחשבונה (עמ' 168)? מהו אחוז החזרת השיקים בחשבון (שם)? מה כמות השיקים שהופקדו שלא כנגד אשראי (עמ' 170)? ומהו אחוז השיקים הדחויים, שלטענתו ניתן כנגדם אשראי, שלא הופקדו בחשבון, מתוך כלל השיקים הדחויים שהופקדו (עמ' 171)?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אֶברון גם אישר כי הנחתו, שהאשראי שניתן לחברה כנגד הפקדת שיקים סחירים ובלתי סחירים, לא הוסקה מתוך בדיקתו, אלא התבססה על כתב התביעה שהוגש, אך הוסיף כי הנחתו זו אושרה מתוך תצהירי הנתבע שהוגשו, בלי לפרט כיצד (עמ' 167-8).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בחוות דעתו הוא פירט רשימת שיקים שהופקדו בסכומים גדולים, שכנגדם הועמד אשראי, אך משהתבקש להפנות למסמכים המעידים על כך הוא הודה שאין בידיו להראות זאת (עמ' 179).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לעומת זאת, הוא אישר כי כל ההלוואות שניתנו לחברה נפרעו (עמ' 172), וכי לא נמצאה חריגה בחשבונה בשני ימים רצופים, משמע, כשהייתה חריגה היא כוסתה לאחר יום אחד (עמ' 183).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הנתבע הכחיש בתוקף את טענות התובעים.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גלנץ העידה בתצהירה כי, "</w:t>
      </w:r>
      <w:r w:rsidRPr="006204E6">
        <w:rPr>
          <w:rFonts w:ascii="Arial" w:hAnsi="Arial" w:hint="cs"/>
          <w:b/>
          <w:bCs/>
          <w:noProof w:val="0"/>
          <w:rtl/>
        </w:rPr>
        <w:t>החברות היו מהלקוחות הטובים בסניף. כעולה אף מדפי חשבונותיהן בבנק החברות נהגו במרבית בתקופה לעמוד במסגרות האשראי שהועמדו להן בחשבונותיהן, והחריגות אם נוצרו לעיתים בחשבונותיהן היו לרוב בסכומים לא משמעותיים והוסדרו על ידן במילואן לבקשת הבנק בסמוך למועד היווצרו</w:t>
      </w:r>
      <w:r>
        <w:rPr>
          <w:rFonts w:ascii="Arial" w:hAnsi="Arial" w:hint="cs"/>
          <w:noProof w:val="0"/>
          <w:rtl/>
        </w:rPr>
        <w:t xml:space="preserve">" (סעיף 22.1);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כי "</w:t>
      </w:r>
      <w:r w:rsidRPr="006204E6">
        <w:rPr>
          <w:rFonts w:ascii="Arial" w:hAnsi="Arial" w:hint="cs"/>
          <w:b/>
          <w:bCs/>
          <w:noProof w:val="0"/>
          <w:rtl/>
        </w:rPr>
        <w:t>החריגות הספציפיות ממסגרת האשראי לא לימדו על פגיעה ביכולת הפירעון של החברות ואולם הבנק עמד על הסדרתן לאור הוראות בנק ישראל שאינה מאשרת, עקרונית, ניהול חשבון המתאפיין בניהולו בחריגות</w:t>
      </w:r>
      <w:r>
        <w:rPr>
          <w:rFonts w:ascii="Arial" w:hAnsi="Arial" w:hint="cs"/>
          <w:noProof w:val="0"/>
          <w:rtl/>
        </w:rPr>
        <w:t xml:space="preserve">". (סעיף 22.2);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וכי "</w:t>
      </w:r>
      <w:r w:rsidRPr="006204E6">
        <w:rPr>
          <w:rFonts w:ascii="Arial" w:hAnsi="Arial" w:hint="cs"/>
          <w:b/>
          <w:bCs/>
          <w:noProof w:val="0"/>
          <w:rtl/>
        </w:rPr>
        <w:t>הבנק לא סבר בזמן אמת כי החברות הן לקוחות בעייתיים שאינם נוהגים לעמוד בהתחייבויותיהן או כי יש להן בעיה בכושר הפירעון וגם לא הייתה לו כל סיבה בנקאית לסבור כך (וגם בדיקת דוחותיהן הכספיים</w:t>
      </w:r>
      <w:r>
        <w:rPr>
          <w:rFonts w:ascii="Arial" w:hAnsi="Arial" w:hint="cs"/>
          <w:b/>
          <w:bCs/>
          <w:noProof w:val="0"/>
          <w:rtl/>
        </w:rPr>
        <w:t xml:space="preserve"> של החברות לא העלתה בעיה כלשהי</w:t>
      </w:r>
      <w:r w:rsidRPr="006204E6">
        <w:rPr>
          <w:rFonts w:ascii="Arial" w:hAnsi="Arial" w:hint="cs"/>
          <w:b/>
          <w:bCs/>
          <w:noProof w:val="0"/>
          <w:rtl/>
        </w:rPr>
        <w:t xml:space="preserve">) </w:t>
      </w:r>
      <w:r w:rsidRPr="00935817">
        <w:rPr>
          <w:rFonts w:ascii="Arial" w:hAnsi="Arial" w:hint="cs"/>
          <w:b/>
          <w:bCs/>
          <w:noProof w:val="0"/>
          <w:rtl/>
        </w:rPr>
        <w:t>וממילא אם הבנק היה סבור אחרת ב</w:t>
      </w:r>
      <w:r>
        <w:rPr>
          <w:rFonts w:ascii="Arial" w:hAnsi="Arial" w:hint="cs"/>
          <w:b/>
          <w:bCs/>
          <w:noProof w:val="0"/>
          <w:rtl/>
        </w:rPr>
        <w:t>ז</w:t>
      </w:r>
      <w:r w:rsidRPr="00935817">
        <w:rPr>
          <w:rFonts w:ascii="Arial" w:hAnsi="Arial" w:hint="cs"/>
          <w:b/>
          <w:bCs/>
          <w:noProof w:val="0"/>
          <w:rtl/>
        </w:rPr>
        <w:t>מן אמת הוא לא היה מעמיד לחברה אשראי והלוואות</w:t>
      </w:r>
      <w:r>
        <w:rPr>
          <w:rFonts w:ascii="Arial" w:hAnsi="Arial" w:hint="cs"/>
          <w:noProof w:val="0"/>
          <w:rtl/>
        </w:rPr>
        <w:t xml:space="preserve">". (22.3); </w:t>
      </w:r>
    </w:p>
    <w:p w:rsidR="00FB4A98" w:rsidRPr="00920095" w:rsidRDefault="00FB4A98" w:rsidP="00FB4A98">
      <w:pPr>
        <w:pStyle w:val="af1"/>
        <w:spacing w:line="360" w:lineRule="auto"/>
        <w:ind w:left="369"/>
        <w:jc w:val="both"/>
        <w:rPr>
          <w:rFonts w:ascii="Arial" w:hAnsi="Arial"/>
          <w:b/>
          <w:bCs/>
          <w:noProof w:val="0"/>
          <w:rtl/>
        </w:rPr>
      </w:pPr>
      <w:r>
        <w:rPr>
          <w:rFonts w:ascii="Arial" w:hAnsi="Arial" w:hint="cs"/>
          <w:noProof w:val="0"/>
          <w:rtl/>
        </w:rPr>
        <w:t>וביחס לטענה הקושרת בין האשראים שניתנו לבין השיקים הדחויים שהופקדו, שמקצתם לא הוצגו לפירעון, העידה גלנץ בתצהירה (סעיפים 20.6-20.5): "</w:t>
      </w:r>
      <w:r w:rsidRPr="00920095">
        <w:rPr>
          <w:rFonts w:ascii="Arial" w:hAnsi="Arial" w:hint="cs"/>
          <w:b/>
          <w:bCs/>
          <w:noProof w:val="0"/>
          <w:rtl/>
        </w:rPr>
        <w:t>קיים קושי גדול, בחלוף הזמן ולאור היקף הפעילויות בחשבונות והאשראים בהם, לנתח בדיעבד ולהתייחס לטענות התובעים כי מספר שיקים ספציפיי</w:t>
      </w:r>
      <w:r w:rsidRPr="00920095">
        <w:rPr>
          <w:rFonts w:ascii="Arial" w:hAnsi="Arial" w:hint="eastAsia"/>
          <w:b/>
          <w:bCs/>
          <w:noProof w:val="0"/>
          <w:rtl/>
        </w:rPr>
        <w:t>ם</w:t>
      </w:r>
      <w:r w:rsidRPr="00920095">
        <w:rPr>
          <w:rFonts w:ascii="Arial" w:hAnsi="Arial" w:hint="cs"/>
          <w:b/>
          <w:bCs/>
          <w:noProof w:val="0"/>
          <w:rtl/>
        </w:rPr>
        <w:t xml:space="preserve"> שכנגדם הועמד אשראי לא הוצגו לפירעון, וממילא השיקים שנטען לגביהן כי לא הוצגו לפירעון מהווים (כעולה מדפי חשבונה של החברה בבנק) חלק מזערי ממספר השיקים שהופקדו בחשבונות החברות (זאת, כך יועצי המשפטים מוסרים לי, מבלי להתייחס לנכונות טענות התובעים בנושא). </w:t>
      </w:r>
    </w:p>
    <w:p w:rsidR="00FB4A98" w:rsidRDefault="00FB4A98" w:rsidP="00FB4A98">
      <w:pPr>
        <w:pStyle w:val="af1"/>
        <w:spacing w:line="360" w:lineRule="auto"/>
        <w:ind w:left="369"/>
        <w:jc w:val="both"/>
        <w:rPr>
          <w:rFonts w:ascii="Arial" w:hAnsi="Arial"/>
          <w:noProof w:val="0"/>
          <w:rtl/>
        </w:rPr>
      </w:pPr>
      <w:r w:rsidRPr="00920095">
        <w:rPr>
          <w:rFonts w:ascii="Arial" w:hAnsi="Arial" w:hint="cs"/>
          <w:b/>
          <w:bCs/>
          <w:noProof w:val="0"/>
          <w:rtl/>
        </w:rPr>
        <w:t>אדגיש כי כאמור, רובם המוחלט של השיקים שהפקידו החברות למשמרת נפרעו במלואם ומניסיוננו מדובר באחוזים גבוהים ביותר ללקוחות עסקיים שחלק מהאשראי המועמד להם מובטח בשיקים מעותדים. חלק מהדבר נובע מהקפדת</w:t>
      </w:r>
      <w:r>
        <w:rPr>
          <w:rFonts w:ascii="Arial" w:hAnsi="Arial" w:hint="cs"/>
          <w:b/>
          <w:bCs/>
          <w:noProof w:val="0"/>
          <w:rtl/>
        </w:rPr>
        <w:t>ן</w:t>
      </w:r>
      <w:r w:rsidRPr="00920095">
        <w:rPr>
          <w:rFonts w:ascii="Arial" w:hAnsi="Arial" w:hint="cs"/>
          <w:b/>
          <w:bCs/>
          <w:noProof w:val="0"/>
          <w:rtl/>
        </w:rPr>
        <w:t xml:space="preserve"> של החברות לגרוע ממצבת השיקים למשמרת בבנק שיקים אשר בדיעבד קם חשש שלא יפרעו אם בשל בעיות טכניות ואם בשל מחלוקות עסקיות</w:t>
      </w:r>
      <w:r>
        <w:rPr>
          <w:rFonts w:ascii="Arial" w:hAnsi="Arial" w:hint="cs"/>
          <w:noProof w:val="0"/>
          <w:rtl/>
        </w:rPr>
        <w:t>."</w:t>
      </w:r>
    </w:p>
    <w:p w:rsidR="00FB4A98" w:rsidRPr="00935817"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גם בחקירתה (מיום 2.10.22) חזרה גלנץ על כך, שלא היה שום דבר חריג בהעמדת האשראי לבלאק קיוב (עמ' 89), כי היו מקרים בודדים שבהם שיקים דחויים לא הוצגו לפירעון, וזאת מתוך "</w:t>
      </w:r>
      <w:r w:rsidRPr="00881AA9">
        <w:rPr>
          <w:rFonts w:ascii="Arial" w:hAnsi="Arial" w:hint="cs"/>
          <w:b/>
          <w:bCs/>
          <w:noProof w:val="0"/>
          <w:rtl/>
        </w:rPr>
        <w:t>היקפים מאוד גדולים של צ'קים עתידיים</w:t>
      </w:r>
      <w:r>
        <w:rPr>
          <w:rFonts w:ascii="Arial" w:hAnsi="Arial" w:hint="cs"/>
          <w:noProof w:val="0"/>
          <w:rtl/>
        </w:rPr>
        <w:t>" (עמ' 103-102), וכי היו מקרים בודדים שבהם שיקים דחויים לא נפרעו, "</w:t>
      </w:r>
      <w:r w:rsidRPr="00881AA9">
        <w:rPr>
          <w:rFonts w:ascii="Arial" w:hAnsi="Arial" w:hint="cs"/>
          <w:b/>
          <w:bCs/>
          <w:noProof w:val="0"/>
          <w:rtl/>
        </w:rPr>
        <w:t>רובן המוחלט נפרע בזמן</w:t>
      </w:r>
      <w:r>
        <w:rPr>
          <w:rFonts w:ascii="Arial" w:hAnsi="Arial" w:hint="cs"/>
          <w:noProof w:val="0"/>
          <w:rtl/>
        </w:rPr>
        <w:t>" (עמ' 104).</w:t>
      </w:r>
    </w:p>
    <w:p w:rsidR="00FB4A98" w:rsidRDefault="00FB4A98" w:rsidP="00FB4A98">
      <w:pPr>
        <w:pStyle w:val="af1"/>
        <w:spacing w:line="360" w:lineRule="auto"/>
        <w:ind w:left="369"/>
        <w:jc w:val="both"/>
        <w:rPr>
          <w:rFonts w:ascii="Arial" w:hAnsi="Arial"/>
          <w:noProof w:val="0"/>
        </w:rPr>
      </w:pPr>
      <w:r>
        <w:rPr>
          <w:rFonts w:ascii="Arial" w:hAnsi="Arial" w:hint="cs"/>
          <w:noProof w:val="0"/>
          <w:rtl/>
        </w:rPr>
        <w:t xml:space="preserve">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גלנץ הוסיפה בתשובתה לשאלת ב"כ התובעים, כי מאור, שהוביל את ניהול החשבון השוטף, לאחר שב', שניהל את החשבון בתחילת הדרך מיעט בכך לאור אשפוזים והיעדרות ממושכת מהארץ (סעיף 17 לתצהירה), הותיר בפני עובדי הסניף "</w:t>
      </w:r>
      <w:r w:rsidRPr="003304A6">
        <w:rPr>
          <w:rFonts w:ascii="Arial" w:hAnsi="Arial" w:hint="cs"/>
          <w:b/>
          <w:bCs/>
          <w:noProof w:val="0"/>
          <w:rtl/>
        </w:rPr>
        <w:t>התרשמות של אדם אמין, ... אמין מאוד, אדם שנמצא בתחום שלו, מכיר את התחום</w:t>
      </w:r>
      <w:r>
        <w:rPr>
          <w:rFonts w:ascii="Arial" w:hAnsi="Arial" w:hint="cs"/>
          <w:noProof w:val="0"/>
          <w:rtl/>
        </w:rPr>
        <w:t xml:space="preserve">" (עמ' 104), באופן שלא העמיד חשד כלשהוא </w:t>
      </w:r>
    </w:p>
    <w:p w:rsidR="00FB4A98" w:rsidRDefault="00FB4A98" w:rsidP="00FB4A98">
      <w:pPr>
        <w:pStyle w:val="af1"/>
        <w:spacing w:line="360" w:lineRule="auto"/>
        <w:ind w:left="369"/>
        <w:jc w:val="both"/>
        <w:rPr>
          <w:rFonts w:ascii="Arial" w:hAnsi="Arial"/>
          <w:noProof w:val="0"/>
        </w:rPr>
      </w:pPr>
      <w:r>
        <w:rPr>
          <w:rFonts w:ascii="Arial" w:hAnsi="Arial" w:hint="cs"/>
          <w:noProof w:val="0"/>
          <w:rtl/>
        </w:rPr>
        <w:t xml:space="preserve">שמפניו היא הייתה צריכה להתריע בפני התובעת.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כמובן שגלנץ וכל עובדי הבנק לא העלו על דעתם את הדברים שהתגלו בחקירה הפלילית שנעשתה למאור, שגם ב', לדבריו, הופתע מהם.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גם בכר העיד בתצהירו (סעיף 11.1) כי "</w:t>
      </w:r>
      <w:r w:rsidRPr="004F6718">
        <w:rPr>
          <w:rFonts w:ascii="Arial" w:hAnsi="Arial" w:hint="cs"/>
          <w:b/>
          <w:bCs/>
          <w:noProof w:val="0"/>
          <w:rtl/>
        </w:rPr>
        <w:t>החבַרות היו מהלקוחות הטובים בסניף</w:t>
      </w:r>
      <w:r>
        <w:rPr>
          <w:rFonts w:ascii="Arial" w:hAnsi="Arial" w:hint="cs"/>
          <w:noProof w:val="0"/>
          <w:rtl/>
        </w:rPr>
        <w:t xml:space="preserve">", וכי לרוב הם לא חרגו ממסגרות האשראי שהועמדו להן וכשאירעה חריגה כזו הן דאגו מיד להסדירה.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בחקירתו (מיום 19.10.22) הוסיף, כי בלאק קיוב "</w:t>
      </w:r>
      <w:r w:rsidRPr="004F6718">
        <w:rPr>
          <w:rFonts w:ascii="Arial" w:hAnsi="Arial" w:hint="cs"/>
          <w:b/>
          <w:bCs/>
          <w:noProof w:val="0"/>
          <w:rtl/>
        </w:rPr>
        <w:t>הייתה חברה אם אני לא טועה הכי גדולה בתחום של מתן שירותי אחריות על מכשירים טלפונים, הגדולה ביותר, היה להם, לפי מיטב ידיעתי, רק מתחרה אחד שמתקרב אליהם ואנחנו סמכנו עליהם</w:t>
      </w:r>
      <w:r>
        <w:rPr>
          <w:rFonts w:ascii="Arial" w:hAnsi="Arial" w:hint="cs"/>
          <w:noProof w:val="0"/>
          <w:rtl/>
        </w:rPr>
        <w:t xml:space="preserve">" (עמ' 316).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כמו גלנץ, גם בכר העיד על מאור, "</w:t>
      </w:r>
      <w:r w:rsidRPr="00177F2F">
        <w:rPr>
          <w:rFonts w:ascii="Arial" w:hAnsi="Arial" w:hint="cs"/>
          <w:b/>
          <w:bCs/>
          <w:noProof w:val="0"/>
          <w:rtl/>
        </w:rPr>
        <w:t>שהתרשמנו ממנו באותו זמן כאיש אמין</w:t>
      </w:r>
      <w:r>
        <w:rPr>
          <w:rFonts w:ascii="Arial" w:hAnsi="Arial" w:hint="cs"/>
          <w:noProof w:val="0"/>
          <w:rtl/>
        </w:rPr>
        <w:t xml:space="preserve">" (עמ' 308).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וביחס לב' הוא העיד (עמ' 302) שהוא הציג בפני הבנק "</w:t>
      </w:r>
      <w:r w:rsidRPr="00416469">
        <w:rPr>
          <w:rFonts w:ascii="Arial" w:hAnsi="Arial" w:hint="cs"/>
          <w:b/>
          <w:bCs/>
          <w:noProof w:val="0"/>
          <w:rtl/>
        </w:rPr>
        <w:t>דו"ח עושר אישי של עשרות מיליונים</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גלנץ סיפרה בתצהירה (סעיף 24) כי קודם להעמדת אשראי לחבַרות, הציג ב' (שהוא ומאור ערבו אף הן בערבות אישית לחבַרות) דו"ח מצב פיננסי לפיו היקף נכסיו עומד על כ-23 מיליון ₪. </w:t>
      </w:r>
    </w:p>
    <w:p w:rsidR="00FB4A98" w:rsidRPr="00194270" w:rsidRDefault="00FB4A98" w:rsidP="00FB4A98">
      <w:pPr>
        <w:pStyle w:val="af1"/>
        <w:spacing w:line="360" w:lineRule="auto"/>
        <w:ind w:left="369"/>
        <w:jc w:val="both"/>
        <w:rPr>
          <w:rFonts w:ascii="Arial" w:hAnsi="Arial"/>
          <w:noProof w:val="0"/>
          <w:rtl/>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מעבר לאמור אוסיף, כי טענת התובעים, לפיה הנתבע לא גילה להם דברים שהיה עליו לגלות אודות מצבן הכלכלי של החַבַרות החייבות נשמעת מפוקפקת ותמוהה, לאור זאת שבנם ב', שאף העיד עבורם במשפט וחזר בתוקף על טענותיהם, היה אחד משני הבעלים של אותן חברות ואחד ממנהליה של החברה החייבת העיקרית, בלאק קיוב. האם הוא לא ידע על אותם "קשיים כלכליים" נטענים? ולא זו בלבד שהוא לא גילה להם עליהם, הוא אף פנה לאמו כדי שתחתום עבורו על הערבויות וליווה אותה בחתימה על הערבות השלישית בסופו של דבר? </w:t>
      </w:r>
    </w:p>
    <w:p w:rsidR="00FB4A98" w:rsidRPr="004F6718" w:rsidRDefault="00FB4A98" w:rsidP="00FB4A98">
      <w:pPr>
        <w:pStyle w:val="af1"/>
        <w:spacing w:line="360" w:lineRule="auto"/>
        <w:ind w:left="369"/>
        <w:jc w:val="both"/>
        <w:rPr>
          <w:rFonts w:ascii="Arial" w:hAnsi="Arial"/>
          <w:noProof w:val="0"/>
          <w:rtl/>
        </w:rPr>
      </w:pPr>
    </w:p>
    <w:p w:rsidR="00FB4A98" w:rsidRDefault="00FB4A98" w:rsidP="00FB4A98">
      <w:pPr>
        <w:pStyle w:val="af1"/>
        <w:numPr>
          <w:ilvl w:val="0"/>
          <w:numId w:val="1"/>
        </w:numPr>
        <w:spacing w:line="360" w:lineRule="auto"/>
        <w:ind w:left="369"/>
        <w:jc w:val="both"/>
        <w:rPr>
          <w:rFonts w:ascii="Arial" w:hAnsi="Arial"/>
          <w:noProof w:val="0"/>
          <w:rtl/>
        </w:rPr>
      </w:pPr>
      <w:r>
        <w:rPr>
          <w:rFonts w:ascii="Arial" w:hAnsi="Arial" w:hint="cs"/>
          <w:noProof w:val="0"/>
          <w:rtl/>
        </w:rPr>
        <w:t>המסקנה היא, שלא הוכח, שהיה על הנתבע להזהיר את התובעת על מצב כלכלי חריג של החבַרות החייבות, כיוון שמצבן הכלכלי לא היה חריג והוא היה בדרך כלל איתן: כמעט והן לא חרגו ממסגרות האשראי שניתנו להן, וכשאירעה חריגה כזו היא הוסדרה במהירות, והשיקים הדחויים שלא הופקדו לפירעון או שחזרו מחוסר פירעון היו חריגים לעומת היקף הפיקדונו</w:t>
      </w:r>
      <w:r>
        <w:rPr>
          <w:rFonts w:ascii="Arial" w:hAnsi="Arial" w:hint="eastAsia"/>
          <w:noProof w:val="0"/>
          <w:rtl/>
        </w:rPr>
        <w:t>ת</w:t>
      </w:r>
      <w:r>
        <w:rPr>
          <w:rFonts w:ascii="Arial" w:hAnsi="Arial" w:hint="cs"/>
          <w:noProof w:val="0"/>
          <w:rtl/>
        </w:rPr>
        <w:t xml:space="preserve"> הגדול.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בלאק קיוב הייתה חֶברה מובילה בתחומה, ובעלי מניותיה: ב' הציג דו"ח כושר החזר חודשי טוב מאוד ומאור הטיל רושם אמין של מי שמבין את תחום עיסוקו.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 מתוך עדותו של ב' (מיום 27.2.22, עמ' 62-61) עולה, כי החברה הקפידה על תשלום משכורות מסודר לעובדיה וכי המפולת הכלכלית החלה רק לאחר החקירה הפלילית שהתחילה, שהנתבע כמובן אינו קשור אליה (ובדיעבד גם ב' נוקה מחשד).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טענה זו של התובעים נדחית, אפוא. </w:t>
      </w:r>
    </w:p>
    <w:p w:rsidR="00FB4A98" w:rsidRDefault="00FB4A98" w:rsidP="00FB4A98">
      <w:pPr>
        <w:spacing w:line="360" w:lineRule="auto"/>
        <w:jc w:val="both"/>
        <w:rPr>
          <w:rFonts w:ascii="Arial" w:hAnsi="Arial"/>
          <w:noProof w:val="0"/>
          <w:rtl/>
        </w:rPr>
      </w:pPr>
    </w:p>
    <w:p w:rsidR="00FB4A98" w:rsidRDefault="00FB4A98" w:rsidP="00FB4A98">
      <w:pPr>
        <w:spacing w:line="360" w:lineRule="auto"/>
        <w:jc w:val="both"/>
        <w:rPr>
          <w:rFonts w:ascii="Arial" w:hAnsi="Arial"/>
          <w:b/>
          <w:bCs/>
          <w:noProof w:val="0"/>
          <w:u w:val="single"/>
          <w:rtl/>
        </w:rPr>
      </w:pPr>
      <w:r w:rsidRPr="004F6718">
        <w:rPr>
          <w:rFonts w:ascii="Arial" w:hAnsi="Arial" w:hint="cs"/>
          <w:b/>
          <w:bCs/>
          <w:noProof w:val="0"/>
          <w:u w:val="single"/>
          <w:rtl/>
        </w:rPr>
        <w:t>הטענה, לפיה חשבון התובעת נפתח לשם העמדת הערבויות בלבד</w:t>
      </w:r>
    </w:p>
    <w:p w:rsidR="00FB4A98" w:rsidRPr="004F6718" w:rsidRDefault="00FB4A98" w:rsidP="00FB4A98">
      <w:pPr>
        <w:spacing w:line="360" w:lineRule="auto"/>
        <w:jc w:val="both"/>
        <w:rPr>
          <w:rFonts w:ascii="Arial" w:hAnsi="Arial"/>
          <w:b/>
          <w:bCs/>
          <w:noProof w:val="0"/>
          <w:u w:val="single"/>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התובעים טענו, כי התובעת "</w:t>
      </w:r>
      <w:r w:rsidRPr="00E50C5D">
        <w:rPr>
          <w:rFonts w:ascii="Arial" w:hAnsi="Arial" w:hint="cs"/>
          <w:b/>
          <w:bCs/>
          <w:noProof w:val="0"/>
          <w:rtl/>
        </w:rPr>
        <w:t>נדרשה לפתוח חשבון ייעודי ומיוחד רק לצורך העברת כספים אליו [</w:t>
      </w:r>
      <w:r>
        <w:rPr>
          <w:rFonts w:ascii="Arial" w:hAnsi="Arial" w:hint="cs"/>
          <w:noProof w:val="0"/>
          <w:rtl/>
        </w:rPr>
        <w:t>ל</w:t>
      </w:r>
      <w:r w:rsidRPr="005B151C">
        <w:rPr>
          <w:rFonts w:ascii="Arial" w:hAnsi="Arial" w:hint="cs"/>
          <w:noProof w:val="0"/>
          <w:rtl/>
        </w:rPr>
        <w:t>נתבע</w:t>
      </w:r>
      <w:r w:rsidRPr="00E50C5D">
        <w:rPr>
          <w:rFonts w:ascii="Arial" w:hAnsi="Arial" w:hint="cs"/>
          <w:b/>
          <w:bCs/>
          <w:noProof w:val="0"/>
          <w:rtl/>
        </w:rPr>
        <w:t>] אשר ישמשו בסוף לצרכי ערבותה של התובעת</w:t>
      </w:r>
      <w:r>
        <w:rPr>
          <w:rFonts w:ascii="Arial" w:hAnsi="Arial" w:hint="cs"/>
          <w:noProof w:val="0"/>
          <w:rtl/>
        </w:rPr>
        <w:t xml:space="preserve">" (מתוך סעיף 24 לכתב התביעה). </w:t>
      </w:r>
      <w:r>
        <w:rPr>
          <w:rFonts w:ascii="Arial" w:hAnsi="Arial"/>
          <w:noProof w:val="0"/>
          <w:rtl/>
        </w:rPr>
        <w:br/>
      </w:r>
      <w:r>
        <w:rPr>
          <w:rFonts w:ascii="Arial" w:hAnsi="Arial" w:hint="cs"/>
          <w:noProof w:val="0"/>
          <w:rtl/>
        </w:rPr>
        <w:t xml:space="preserve">גם טענה זו הוכחשה בתוקף על-ידי הנתבע.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נגאוקר העיד (סעיף 4 לתצהירו), כי עוד בפגישתו עם ב' בחודש יולי 2017 במרכז ההשקעות של הבנק סיפר לו ב' כי אמו "</w:t>
      </w:r>
      <w:r w:rsidRPr="005F2D6A">
        <w:rPr>
          <w:rFonts w:ascii="Arial" w:hAnsi="Arial" w:hint="cs"/>
          <w:b/>
          <w:bCs/>
          <w:noProof w:val="0"/>
          <w:rtl/>
        </w:rPr>
        <w:t>מחזיקה בבנק אחר כ-8 מיליון אירו אותם היא שוקלת להעביר לבנק לצרכי השקעה</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גלנץ העידה (סעיפים 27-24 לתצהירה), כי מלכתחילה חשבון התובעת נפתח כ"</w:t>
      </w:r>
      <w:r w:rsidRPr="005F2D6A">
        <w:rPr>
          <w:rFonts w:ascii="Arial" w:hAnsi="Arial" w:hint="cs"/>
          <w:b/>
          <w:bCs/>
          <w:noProof w:val="0"/>
          <w:rtl/>
        </w:rPr>
        <w:t>חשבון תמורה בלבד</w:t>
      </w:r>
      <w:r>
        <w:rPr>
          <w:rFonts w:ascii="Arial" w:hAnsi="Arial" w:hint="cs"/>
          <w:noProof w:val="0"/>
          <w:rtl/>
        </w:rPr>
        <w:t>", כלומר לא לפעילות שוטפת, כי בעת פתיחת החשבון הבנק "</w:t>
      </w:r>
      <w:r w:rsidRPr="005F2D6A">
        <w:rPr>
          <w:rFonts w:ascii="Arial" w:hAnsi="Arial" w:hint="cs"/>
          <w:b/>
          <w:bCs/>
          <w:noProof w:val="0"/>
          <w:rtl/>
        </w:rPr>
        <w:t>לא ידע ולא חשב שחשבון התובעת בסניף ישמש בסופו של יום בזיקה כלשהיא לפעילות החבַרות...</w:t>
      </w:r>
      <w:r>
        <w:rPr>
          <w:rFonts w:ascii="Arial" w:hAnsi="Arial" w:hint="cs"/>
          <w:noProof w:val="0"/>
          <w:rtl/>
        </w:rPr>
        <w:t xml:space="preserve">", וכי ההצעה לפתיחת חשבון התובעת בסניף עלתה על-ידי בנה ב'.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באופן דומה העיד גם בכר בתצהירו (סעיפים 16-12).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אף אודיה , שטיפלה בפתיחת חשבון התובעת, העידה בחקירתה (מיום 19.10.22, עמ' 284), כי בעת פתיחת החשבון, הכוונה הייתה שהחשבון יהיה "</w:t>
      </w:r>
      <w:r w:rsidRPr="002951AA">
        <w:rPr>
          <w:rFonts w:ascii="Arial" w:hAnsi="Arial" w:hint="cs"/>
          <w:b/>
          <w:bCs/>
          <w:noProof w:val="0"/>
          <w:rtl/>
        </w:rPr>
        <w:t>חשבון תמורה</w:t>
      </w:r>
      <w:r>
        <w:rPr>
          <w:rFonts w:ascii="Arial" w:hAnsi="Arial" w:hint="cs"/>
          <w:noProof w:val="0"/>
          <w:rtl/>
        </w:rPr>
        <w:t xml:space="preserve">" בלבד, כלומר לא לפעילות שוטפת.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גלנץ הוסיפה בתצהירה (סעיפים 33-28), כי מלכתחילה הכוונה הייתה שב' יעמיד כבטוחה להלוואה שניתנה לבלאק קיוב בסוף שנת 2017, נכס מקרקעין שבבעלותו, אך לאחר שהוא התקשה להמציא שמאות עדכנית על הנכס, הציע מאור כי הכספים המופקדים בחשבון התובעת ישמשו כבטוחה לאותה הלוואה, ב' אימץ את הרעיון, פנה לאמו וזו הסכימה.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השיחות שניהל נגאוקר עם התובעים במהלך המחצית הראשונה של שנת 2018 ביחס לאפשרות ההשקעה של כספי התובעת המופקדים בחשבון, תומכות במסקנה כי החשבון נפתח לשם ניהול ההשקעות בכספים שהופקדו בו. קרוב לוודאי שזו הייתה כוונת התובעת מלכתחילה, בשונה אולי מכוונתם של ב' ומאור. אולם, גם אם כך היה הדבר, משהתובעת נתנה את הסכמתה כי חלק מכספי החשבון (ויצוין כי לדברי הנתבע, גם לאחר מימוש הערבויות נותר בחשבון כ-2 מיליון ש"ח) ישמשו כערבות לעסקים הקשורים בלבנה, ומשלא נמצא כל פגם בהסכמתה, הרי שזוהי הסכמה מחייבת, שהתובעת איננה יכולה לסגת ממנה משהתברר שנוצר צורך במימוש הערבויות. </w:t>
      </w:r>
    </w:p>
    <w:p w:rsidR="00FB4A98" w:rsidRDefault="00FB4A98" w:rsidP="00FB4A98">
      <w:pPr>
        <w:pStyle w:val="af1"/>
        <w:spacing w:line="360" w:lineRule="auto"/>
        <w:ind w:left="369"/>
        <w:jc w:val="both"/>
        <w:rPr>
          <w:rFonts w:ascii="Arial" w:hAnsi="Arial"/>
          <w:noProof w:val="0"/>
        </w:rPr>
      </w:pPr>
    </w:p>
    <w:p w:rsidR="00FB4A98" w:rsidRDefault="00FB4A98" w:rsidP="00FB4A98">
      <w:pPr>
        <w:spacing w:line="360" w:lineRule="auto"/>
        <w:ind w:left="9"/>
        <w:jc w:val="both"/>
        <w:rPr>
          <w:rFonts w:ascii="Arial" w:hAnsi="Arial"/>
          <w:b/>
          <w:bCs/>
          <w:noProof w:val="0"/>
          <w:u w:val="single"/>
          <w:rtl/>
        </w:rPr>
      </w:pPr>
      <w:r w:rsidRPr="00D23106">
        <w:rPr>
          <w:rFonts w:ascii="Arial" w:hAnsi="Arial" w:hint="cs"/>
          <w:b/>
          <w:bCs/>
          <w:noProof w:val="0"/>
          <w:u w:val="single"/>
          <w:rtl/>
        </w:rPr>
        <w:t>הטענה, לפיה מאור העניק מתנות והטבות אסורות לפקידי הבנק</w:t>
      </w:r>
    </w:p>
    <w:p w:rsidR="00FB4A98" w:rsidRPr="00D23106" w:rsidRDefault="00FB4A98" w:rsidP="00FB4A98">
      <w:pPr>
        <w:spacing w:line="360" w:lineRule="auto"/>
        <w:ind w:left="9"/>
        <w:jc w:val="both"/>
        <w:rPr>
          <w:rFonts w:ascii="Arial" w:hAnsi="Arial"/>
          <w:b/>
          <w:bCs/>
          <w:noProof w:val="0"/>
          <w:u w:val="single"/>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התובעים טענו, בין היתר, כי מאור "</w:t>
      </w:r>
      <w:r w:rsidRPr="007C3A4B">
        <w:rPr>
          <w:rFonts w:ascii="Arial" w:hAnsi="Arial" w:hint="cs"/>
          <w:b/>
          <w:bCs/>
          <w:noProof w:val="0"/>
          <w:rtl/>
        </w:rPr>
        <w:t>ביסס את קשריו האישיים בסניף המדובר באמצעות הענקת מתנות והטבות אסורות לפקידי הבנק ונציגי הסניף, לרבות טלפונים במתנה, תיקוני טלפונים ללא עלות, אוזניות וכיו"ב, וזאת על מנת ליצור מחויבות שלהם כלפיו, ולאפשר את הפעילות המנוגדת לדין שהתנהלה בכל הקשור לתובעים</w:t>
      </w:r>
      <w:r>
        <w:rPr>
          <w:rFonts w:ascii="Arial" w:hAnsi="Arial" w:hint="cs"/>
          <w:noProof w:val="0"/>
          <w:rtl/>
        </w:rPr>
        <w:t xml:space="preserve">" (סעיף 17 לכתב התביעה).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 xml:space="preserve">מצופה היה, אם כן, שהאשָמה כה חמורה תיתמך בראיות איתנות, אולם דבר מכל אלה לא הוכח, והתובעים אף נמנעו מלחזור בהם מההאשָמות שהוטחו כלפי עובדי הנתבע. </w:t>
      </w:r>
    </w:p>
    <w:p w:rsidR="00FB4A98" w:rsidRDefault="00FB4A98" w:rsidP="00FB4A98">
      <w:pPr>
        <w:spacing w:line="360" w:lineRule="auto"/>
        <w:jc w:val="both"/>
        <w:rPr>
          <w:rFonts w:ascii="Arial" w:hAnsi="Arial"/>
          <w:noProof w:val="0"/>
          <w:rtl/>
        </w:rPr>
      </w:pPr>
    </w:p>
    <w:p w:rsidR="00FB4A98" w:rsidRDefault="00FB4A98" w:rsidP="00FB4A98">
      <w:pPr>
        <w:spacing w:line="360" w:lineRule="auto"/>
        <w:jc w:val="both"/>
        <w:rPr>
          <w:rFonts w:ascii="Arial" w:hAnsi="Arial"/>
          <w:b/>
          <w:bCs/>
          <w:noProof w:val="0"/>
          <w:u w:val="single"/>
          <w:rtl/>
        </w:rPr>
      </w:pPr>
      <w:r w:rsidRPr="007C3A4B">
        <w:rPr>
          <w:rFonts w:ascii="Arial" w:hAnsi="Arial" w:hint="cs"/>
          <w:b/>
          <w:bCs/>
          <w:noProof w:val="0"/>
          <w:u w:val="single"/>
          <w:rtl/>
        </w:rPr>
        <w:t>עדותו של מאור</w:t>
      </w:r>
    </w:p>
    <w:p w:rsidR="00FB4A98" w:rsidRPr="007C3A4B" w:rsidRDefault="00FB4A98" w:rsidP="00FB4A98">
      <w:pPr>
        <w:spacing w:line="360" w:lineRule="auto"/>
        <w:jc w:val="both"/>
        <w:rPr>
          <w:rFonts w:ascii="Arial" w:hAnsi="Arial"/>
          <w:b/>
          <w:bCs/>
          <w:noProof w:val="0"/>
          <w:u w:val="single"/>
        </w:rPr>
      </w:pPr>
      <w:r w:rsidRPr="007C3A4B">
        <w:rPr>
          <w:rFonts w:ascii="Arial" w:hAnsi="Arial" w:hint="cs"/>
          <w:b/>
          <w:bCs/>
          <w:noProof w:val="0"/>
          <w:u w:val="single"/>
          <w:rtl/>
        </w:rPr>
        <w:t xml:space="preserve">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תצהירו של מאור הוגש על-ידי התובעים כשנה לאחר הגשת תצהיריהם.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ניכר מתצהירו כי הוא עשה מאמץ לתמוך בגרסתם של התובעים.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מאור אף לא ניסה להסביר כיצד, למרות שלדבריו ב' אמר לו "</w:t>
      </w:r>
      <w:r w:rsidRPr="007C3A4B">
        <w:rPr>
          <w:rFonts w:ascii="Arial" w:hAnsi="Arial" w:hint="cs"/>
          <w:b/>
          <w:bCs/>
          <w:noProof w:val="0"/>
          <w:rtl/>
        </w:rPr>
        <w:t>שמצבה הבריאותי של אימו לא טוב וכי יש מצב שהיא לא תבין בכלל מה רוצים ממנה</w:t>
      </w:r>
      <w:r>
        <w:rPr>
          <w:rFonts w:ascii="Arial" w:hAnsi="Arial" w:hint="cs"/>
          <w:noProof w:val="0"/>
          <w:rtl/>
        </w:rPr>
        <w:t>", הוא עמד על כך שהיא תגיע לבנק כדי לחתום על הערבות השלישית (סעיף 17 לתצהירו), ומדוע אם הוא ביקש מעובדי הסניף "</w:t>
      </w:r>
      <w:r w:rsidRPr="007C3A4B">
        <w:rPr>
          <w:rFonts w:ascii="Arial" w:hAnsi="Arial" w:hint="cs"/>
          <w:b/>
          <w:bCs/>
          <w:noProof w:val="0"/>
          <w:rtl/>
        </w:rPr>
        <w:t xml:space="preserve">כי כל המסמכים יהיו מוכנים מראש וכי לא יעכבו את הוריו של </w:t>
      </w:r>
      <w:r w:rsidRPr="007C3A4B">
        <w:rPr>
          <w:rFonts w:ascii="Arial" w:hAnsi="Arial" w:hint="cs"/>
          <w:noProof w:val="0"/>
          <w:rtl/>
        </w:rPr>
        <w:t>[ב</w:t>
      </w:r>
      <w:r>
        <w:rPr>
          <w:rFonts w:ascii="Arial" w:hAnsi="Arial" w:hint="cs"/>
          <w:noProof w:val="0"/>
          <w:rtl/>
        </w:rPr>
        <w:t>'</w:t>
      </w:r>
      <w:r w:rsidRPr="007C3A4B">
        <w:rPr>
          <w:rFonts w:ascii="Arial" w:hAnsi="Arial" w:hint="cs"/>
          <w:noProof w:val="0"/>
          <w:rtl/>
        </w:rPr>
        <w:t>]</w:t>
      </w:r>
      <w:r w:rsidRPr="007C3A4B">
        <w:rPr>
          <w:rFonts w:ascii="Arial" w:hAnsi="Arial" w:hint="cs"/>
          <w:b/>
          <w:bCs/>
          <w:noProof w:val="0"/>
          <w:rtl/>
        </w:rPr>
        <w:t xml:space="preserve"> יותר מידי, וכן כי שלא ייכנסו איתם ליותר מידי פרטים</w:t>
      </w:r>
      <w:r>
        <w:rPr>
          <w:rFonts w:ascii="Arial" w:hAnsi="Arial" w:hint="cs"/>
          <w:noProof w:val="0"/>
          <w:rtl/>
        </w:rPr>
        <w:t>" (סעיף 18) הוא מלין על כך ש"</w:t>
      </w:r>
      <w:r w:rsidRPr="00A32638">
        <w:rPr>
          <w:rFonts w:ascii="Arial" w:hAnsi="Arial" w:hint="cs"/>
          <w:b/>
          <w:bCs/>
          <w:noProof w:val="0"/>
          <w:rtl/>
        </w:rPr>
        <w:t>כל מעמד החתימה ארך לא יותר מדקות בודדות</w:t>
      </w:r>
      <w:r>
        <w:rPr>
          <w:rFonts w:ascii="Arial" w:hAnsi="Arial" w:hint="cs"/>
          <w:noProof w:val="0"/>
          <w:rtl/>
        </w:rPr>
        <w:t xml:space="preserve">" (סעיף 19) ועל כך שגלנץ לא נתנה לתובעים הסבר כלשהו (סעיף 20). </w:t>
      </w:r>
    </w:p>
    <w:p w:rsidR="00FB4A98" w:rsidRPr="00187918" w:rsidRDefault="00FB4A98" w:rsidP="00FB4A98">
      <w:pPr>
        <w:pStyle w:val="af1"/>
        <w:spacing w:line="360" w:lineRule="auto"/>
        <w:ind w:left="369"/>
        <w:jc w:val="both"/>
        <w:rPr>
          <w:rFonts w:ascii="Arial" w:hAnsi="Arial"/>
          <w:noProof w:val="0"/>
        </w:rPr>
      </w:pPr>
      <w:r>
        <w:rPr>
          <w:rFonts w:ascii="Arial" w:hAnsi="Arial" w:hint="cs"/>
          <w:noProof w:val="0"/>
          <w:rtl/>
        </w:rPr>
        <w:t>בכלל מפתיע כיצד התובעים מבקשים להיבנות מתצהירו של מי שלדבריהם רימה אותם (ב' אישר בחקירתו מיום 17.2.22, עמ' 63, כי "</w:t>
      </w:r>
      <w:r w:rsidRPr="00187918">
        <w:rPr>
          <w:rFonts w:ascii="Arial" w:hAnsi="Arial" w:hint="cs"/>
          <w:b/>
          <w:bCs/>
          <w:noProof w:val="0"/>
          <w:rtl/>
        </w:rPr>
        <w:t>היום זה ברור</w:t>
      </w:r>
      <w:r>
        <w:rPr>
          <w:rFonts w:ascii="Arial" w:hAnsi="Arial" w:hint="cs"/>
          <w:noProof w:val="0"/>
          <w:rtl/>
        </w:rPr>
        <w:t xml:space="preserve">" שמאור הוא נוכל, שרימה אותו ואת הוריו).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עדותו של מאור בדבר התרחשות הדברים שהביאו לחתימת התובעת על הערבויות נסתרה בעדויות עדי הנתבע (כפי שיפורט להלן) ואני מעדיף את עדותם, ובעיקר את עדותה של גלנץ שהייתה אמינה וקוהרנטית, על פני עדותו הבלתי אמינה ורבת הסתירות של מאור. </w:t>
      </w:r>
    </w:p>
    <w:p w:rsidR="00FB4A98" w:rsidRPr="00187918" w:rsidRDefault="00FB4A98" w:rsidP="00FB4A98">
      <w:pPr>
        <w:spacing w:line="360" w:lineRule="auto"/>
        <w:jc w:val="both"/>
        <w:rPr>
          <w:rFonts w:ascii="Arial" w:hAnsi="Arial"/>
          <w:b/>
          <w:bCs/>
          <w:noProof w:val="0"/>
          <w:u w:val="single"/>
          <w:rtl/>
        </w:rPr>
      </w:pPr>
    </w:p>
    <w:p w:rsidR="00FB4A98" w:rsidRPr="00187918" w:rsidRDefault="00FB4A98" w:rsidP="00FB4A98">
      <w:pPr>
        <w:spacing w:line="360" w:lineRule="auto"/>
        <w:jc w:val="both"/>
        <w:rPr>
          <w:rFonts w:ascii="Arial" w:hAnsi="Arial"/>
          <w:b/>
          <w:bCs/>
          <w:noProof w:val="0"/>
          <w:u w:val="single"/>
          <w:rtl/>
        </w:rPr>
      </w:pPr>
      <w:r w:rsidRPr="00187918">
        <w:rPr>
          <w:rFonts w:ascii="Arial" w:hAnsi="Arial" w:hint="cs"/>
          <w:b/>
          <w:bCs/>
          <w:noProof w:val="0"/>
          <w:u w:val="single"/>
          <w:rtl/>
        </w:rPr>
        <w:t xml:space="preserve">ניתוח פרטני של הרקע לחתימה על שלוש הערבויות ומעמד החתימה </w:t>
      </w:r>
    </w:p>
    <w:p w:rsidR="00FB4A98" w:rsidRDefault="00FB4A98" w:rsidP="00FB4A98">
      <w:pPr>
        <w:spacing w:line="360" w:lineRule="auto"/>
        <w:jc w:val="both"/>
        <w:rPr>
          <w:rFonts w:ascii="Arial" w:hAnsi="Arial"/>
          <w:noProof w:val="0"/>
          <w:rtl/>
        </w:rPr>
      </w:pPr>
    </w:p>
    <w:p w:rsidR="00FB4A98" w:rsidRPr="00187918" w:rsidRDefault="00FB4A98" w:rsidP="00FB4A98">
      <w:pPr>
        <w:spacing w:line="360" w:lineRule="auto"/>
        <w:jc w:val="both"/>
        <w:rPr>
          <w:rFonts w:ascii="Arial" w:hAnsi="Arial"/>
          <w:b/>
          <w:bCs/>
          <w:noProof w:val="0"/>
          <w:u w:val="single"/>
        </w:rPr>
      </w:pPr>
      <w:r w:rsidRPr="00187918">
        <w:rPr>
          <w:rFonts w:ascii="Arial" w:hAnsi="Arial" w:hint="cs"/>
          <w:b/>
          <w:bCs/>
          <w:noProof w:val="0"/>
          <w:u w:val="single"/>
          <w:rtl/>
        </w:rPr>
        <w:t>הערבות הראשונה מיום 1.1.2018</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גלנץ סיפרה בתצהירה (סעיפים 33-28) כי בסוף שנת 2017 ביקשה בלאק קיוב לקבל הלוואה בסך 1.7 מיליון ₪, לצורך רכישת מלאי מכשירים סלולריים מחודשים, ובהמשך גם אפשרות לעסקה נוספת של רכישת טלפונים "כשרים". להבטחת השבת האשראי הציע ב' לשעבד את זכויותיו בנכס מקרקעין שבבעלותו, אך מאחר שהוא התקשה להמציא באופן מיידי שמאות עדכנית של הנכס הנדרשת לשם העמדת האשראי, מאור "</w:t>
      </w:r>
      <w:r w:rsidRPr="00A32638">
        <w:rPr>
          <w:rFonts w:ascii="Arial" w:hAnsi="Arial" w:hint="cs"/>
          <w:b/>
          <w:bCs/>
          <w:noProof w:val="0"/>
          <w:rtl/>
        </w:rPr>
        <w:t>העלה את ההצעה ושכנע את ב'</w:t>
      </w:r>
      <w:r>
        <w:rPr>
          <w:rFonts w:ascii="Arial" w:hAnsi="Arial" w:hint="cs"/>
          <w:noProof w:val="0"/>
          <w:rtl/>
        </w:rPr>
        <w:t xml:space="preserve">" לשוחח עם אמו, התובעת, כדי לשכנעה להסכים להעמיד את הכספים בחשבונה כבטוחה להשבת ההלוואה.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לאחר מכן ביקשו התובעים, המתגוררים בירושלים, שמעמד החתימה על מסמכי הערבות תיעשה בסניף הבנק בירושלים, ולכן הם הופנו לסניף הירושלמי, שם חתמה התובעת על מסמכי הערבות.  </w:t>
      </w:r>
    </w:p>
    <w:p w:rsidR="00FB4A98" w:rsidRPr="008278D1"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עד כאן עדותה של גלנץ תואמת בעיקריה לעדותו של התובע בתצהירו (סעיפים 21 ואילך), שסיפר כי ב' פנה אליו ולרעייתו בעקבות בקשתו של מאור, כדי שהתובעת תחתום על ערבות להשבת הלוואה הניתנת לבלאק קיוב, ש"</w:t>
      </w:r>
      <w:r w:rsidRPr="00770E72">
        <w:rPr>
          <w:rFonts w:ascii="Arial" w:hAnsi="Arial" w:hint="cs"/>
          <w:b/>
          <w:bCs/>
          <w:noProof w:val="0"/>
          <w:rtl/>
        </w:rPr>
        <w:t>נועדה לרכישת מכשירי סלולאר בהיקף מוגבל של כ-1 מיליון שקלים חדשים</w:t>
      </w:r>
      <w:r>
        <w:rPr>
          <w:rFonts w:ascii="Arial" w:hAnsi="Arial" w:hint="cs"/>
          <w:noProof w:val="0"/>
          <w:rtl/>
        </w:rPr>
        <w:t>". כן סיפר, כי החתימה בסניף בירושלים נעשתה לבקשתם, מאחר שהם התקשו להגיע לסניף בני-ברק, "</w:t>
      </w:r>
      <w:r w:rsidRPr="00770E72">
        <w:rPr>
          <w:rFonts w:ascii="Arial" w:hAnsi="Arial" w:hint="cs"/>
          <w:b/>
          <w:bCs/>
          <w:noProof w:val="0"/>
          <w:rtl/>
        </w:rPr>
        <w:t>לאור גילנו המתקדם ומצבנו הגופני הלא שפיר</w:t>
      </w:r>
      <w:r>
        <w:rPr>
          <w:rFonts w:ascii="Arial" w:hAnsi="Arial" w:hint="cs"/>
          <w:noProof w:val="0"/>
          <w:rtl/>
        </w:rPr>
        <w:t xml:space="preserve">".  </w:t>
      </w:r>
      <w:r w:rsidRPr="00770E72">
        <w:rPr>
          <w:rFonts w:ascii="Arial" w:hAnsi="Arial" w:hint="cs"/>
          <w:noProof w:val="0"/>
          <w:rtl/>
        </w:rPr>
        <w:t>אלא שהתובע</w:t>
      </w:r>
      <w:r>
        <w:rPr>
          <w:rFonts w:ascii="Arial" w:hAnsi="Arial" w:hint="cs"/>
          <w:noProof w:val="0"/>
          <w:rtl/>
        </w:rPr>
        <w:t xml:space="preserve"> הוסיף ותיאר כיצד דלתות הסניף בירושלים נפתחו במיוחד בשבילם, למרות שהגיעו אליו לאחר שעת הסגירה ב-18:00 וכי לא ניתן להם כל הסבר אודות המסמכים עליהם חתמה התובעת. התובע אף הפנה לחותמת שהוטבעה על המסמכים, שבה נכתב: "</w:t>
      </w:r>
      <w:r w:rsidRPr="00D52E65">
        <w:rPr>
          <w:rFonts w:ascii="Arial" w:hAnsi="Arial" w:hint="cs"/>
          <w:b/>
          <w:bCs/>
          <w:noProof w:val="0"/>
          <w:rtl/>
        </w:rPr>
        <w:t>הריני לאשר בזה ש[</w:t>
      </w:r>
      <w:r w:rsidRPr="009C681D">
        <w:rPr>
          <w:rFonts w:ascii="Arial" w:hAnsi="Arial" w:hint="cs"/>
          <w:noProof w:val="0"/>
          <w:rtl/>
        </w:rPr>
        <w:t>התובעת</w:t>
      </w:r>
      <w:r w:rsidRPr="00D52E65">
        <w:rPr>
          <w:rFonts w:ascii="Arial" w:hAnsi="Arial" w:hint="cs"/>
          <w:b/>
          <w:bCs/>
          <w:noProof w:val="0"/>
          <w:rtl/>
        </w:rPr>
        <w:t>] ת.ז ... חתם בנוכחותנו. אישורנו זה בא לשם זיהוי החתימה בלבד</w:t>
      </w:r>
      <w:r>
        <w:rPr>
          <w:rFonts w:ascii="Arial" w:hAnsi="Arial" w:hint="cs"/>
          <w:noProof w:val="0"/>
          <w:rtl/>
        </w:rPr>
        <w:t xml:space="preserve">", דבר המלמד כי מלבד זיהוי החתימה לא הוסבר להם כל דבר נוסף. </w:t>
      </w:r>
    </w:p>
    <w:p w:rsidR="00FB4A98" w:rsidRPr="00770E72" w:rsidRDefault="00FB4A98" w:rsidP="00FB4A98">
      <w:pPr>
        <w:pStyle w:val="af1"/>
        <w:spacing w:line="360" w:lineRule="auto"/>
        <w:ind w:left="369"/>
        <w:jc w:val="both"/>
        <w:rPr>
          <w:rFonts w:ascii="Arial" w:hAnsi="Arial"/>
          <w:noProof w:val="0"/>
        </w:rPr>
      </w:pPr>
    </w:p>
    <w:p w:rsidR="00FB4A98" w:rsidRPr="00F11434" w:rsidRDefault="00FB4A98" w:rsidP="00FB4A98">
      <w:pPr>
        <w:pStyle w:val="af1"/>
        <w:numPr>
          <w:ilvl w:val="0"/>
          <w:numId w:val="1"/>
        </w:numPr>
        <w:spacing w:line="360" w:lineRule="auto"/>
        <w:ind w:left="369"/>
        <w:jc w:val="both"/>
        <w:rPr>
          <w:rFonts w:ascii="Arial" w:hAnsi="Arial"/>
          <w:b/>
          <w:bCs/>
          <w:noProof w:val="0"/>
        </w:rPr>
      </w:pPr>
      <w:r>
        <w:rPr>
          <w:rFonts w:ascii="Arial" w:hAnsi="Arial" w:hint="cs"/>
          <w:noProof w:val="0"/>
          <w:rtl/>
        </w:rPr>
        <w:t>סימוני, פקידת הסניף בירושלים, שעסקה בהחתמת התובעת על מסמכי הערבות הראשונה העידה בתצהירה (סעיפים 11-8): "</w:t>
      </w:r>
      <w:r w:rsidRPr="00F11434">
        <w:rPr>
          <w:rFonts w:ascii="Arial" w:hAnsi="Arial" w:hint="cs"/>
          <w:b/>
          <w:bCs/>
          <w:noProof w:val="0"/>
          <w:rtl/>
        </w:rPr>
        <w:t xml:space="preserve">אדגיש כי בכל פעם </w:t>
      </w:r>
      <w:r>
        <w:rPr>
          <w:rFonts w:ascii="Arial" w:hAnsi="Arial" w:hint="cs"/>
          <w:b/>
          <w:bCs/>
          <w:noProof w:val="0"/>
          <w:rtl/>
        </w:rPr>
        <w:t>ש</w:t>
      </w:r>
      <w:r w:rsidRPr="00F11434">
        <w:rPr>
          <w:rFonts w:ascii="Arial" w:hAnsi="Arial" w:hint="cs"/>
          <w:b/>
          <w:bCs/>
          <w:noProof w:val="0"/>
          <w:rtl/>
        </w:rPr>
        <w:t xml:space="preserve">אני החתמתי ערב על כתב ערבות (אם עבור </w:t>
      </w:r>
      <w:r>
        <w:rPr>
          <w:rFonts w:ascii="Arial" w:hAnsi="Arial" w:hint="cs"/>
          <w:b/>
          <w:bCs/>
          <w:noProof w:val="0"/>
          <w:rtl/>
        </w:rPr>
        <w:t xml:space="preserve">הסניף </w:t>
      </w:r>
      <w:r w:rsidRPr="00F11434">
        <w:rPr>
          <w:rFonts w:ascii="Arial" w:hAnsi="Arial" w:hint="cs"/>
          <w:b/>
          <w:bCs/>
          <w:noProof w:val="0"/>
          <w:rtl/>
        </w:rPr>
        <w:t xml:space="preserve">בו אני עבדתי ואם עבור סניף אחר) הקפדתי להסביר לערב מהו כתב ערבות ומהו סכומו (אם הוא מוגבל בסכום). עוד הקפדתי להפנות את הערב לסכומי החוב הנקובים בהודעה לערב (אם קיימים) ולכך שהערבות היא לכל ההתחייבויות המגיעות ושיגיעו לבנק בקשר לחייבים הנערבים. ככל שהחתמתי ערב גם על מסמכים נוספים </w:t>
      </w:r>
      <w:r w:rsidRPr="00F11434">
        <w:rPr>
          <w:rFonts w:ascii="Arial" w:hAnsi="Arial"/>
          <w:b/>
          <w:bCs/>
          <w:noProof w:val="0"/>
          <w:rtl/>
        </w:rPr>
        <w:t>–</w:t>
      </w:r>
      <w:r w:rsidRPr="00F11434">
        <w:rPr>
          <w:rFonts w:ascii="Arial" w:hAnsi="Arial" w:hint="cs"/>
          <w:b/>
          <w:bCs/>
          <w:noProof w:val="0"/>
          <w:rtl/>
        </w:rPr>
        <w:t xml:space="preserve"> נתתי הסבר מתאים גם בעניינם. </w:t>
      </w:r>
    </w:p>
    <w:p w:rsidR="00FB4A98" w:rsidRPr="00F11434" w:rsidRDefault="00FB4A98" w:rsidP="00FB4A98">
      <w:pPr>
        <w:pStyle w:val="af1"/>
        <w:spacing w:line="360" w:lineRule="auto"/>
        <w:ind w:left="369"/>
        <w:jc w:val="both"/>
        <w:rPr>
          <w:rFonts w:ascii="Arial" w:hAnsi="Arial"/>
          <w:b/>
          <w:bCs/>
          <w:noProof w:val="0"/>
        </w:rPr>
      </w:pPr>
      <w:r w:rsidRPr="00F11434">
        <w:rPr>
          <w:rFonts w:ascii="Arial" w:hAnsi="Arial" w:hint="cs"/>
          <w:b/>
          <w:bCs/>
          <w:noProof w:val="0"/>
          <w:rtl/>
        </w:rPr>
        <w:t xml:space="preserve">אני בטוחה שכך עשיתי בעניינה של התובעת והמסמכים מיום 01.01.18. </w:t>
      </w:r>
    </w:p>
    <w:p w:rsidR="00FB4A98" w:rsidRPr="00F11434" w:rsidRDefault="00FB4A98" w:rsidP="00FB4A98">
      <w:pPr>
        <w:pStyle w:val="af1"/>
        <w:spacing w:line="360" w:lineRule="auto"/>
        <w:ind w:left="369"/>
        <w:jc w:val="both"/>
        <w:rPr>
          <w:rFonts w:ascii="Arial" w:hAnsi="Arial"/>
          <w:b/>
          <w:bCs/>
          <w:noProof w:val="0"/>
          <w:rtl/>
        </w:rPr>
      </w:pPr>
      <w:r w:rsidRPr="00F11434">
        <w:rPr>
          <w:rFonts w:ascii="Arial" w:hAnsi="Arial" w:hint="cs"/>
          <w:b/>
          <w:bCs/>
          <w:noProof w:val="0"/>
          <w:rtl/>
        </w:rPr>
        <w:t xml:space="preserve">עוד אציין כי אם לקוח או ערב היה אומר לי כי הם אינו מבין את השפה העברית או אינו יודע קרוא בעברית (או אם מן ההתנהלות שלי מולו התרשמתי כי הוא מתקשה בהבנת עברית), הסתייעתי בשירותיו של פקיד בנק הדובר את שפתו על מנת שהוא יסביר לו על מה הוא חותם (במהלך השנים עבדו עמי פקידי בנק הדוברים שפות שונות). אם לא הייתה לי אפשרות להסביר ללקוח או לערב ערב בשפתו </w:t>
      </w:r>
      <w:r w:rsidRPr="00F11434">
        <w:rPr>
          <w:rFonts w:ascii="Arial" w:hAnsi="Arial"/>
          <w:b/>
          <w:bCs/>
          <w:noProof w:val="0"/>
          <w:rtl/>
        </w:rPr>
        <w:t>–</w:t>
      </w:r>
      <w:r w:rsidRPr="00F11434">
        <w:rPr>
          <w:rFonts w:ascii="Arial" w:hAnsi="Arial" w:hint="cs"/>
          <w:b/>
          <w:bCs/>
          <w:noProof w:val="0"/>
          <w:rtl/>
        </w:rPr>
        <w:t xml:space="preserve"> לא הייתי מחתים אותו על המסמך. </w:t>
      </w:r>
    </w:p>
    <w:p w:rsidR="00FB4A98" w:rsidRPr="00F11434" w:rsidRDefault="00FB4A98" w:rsidP="00FB4A98">
      <w:pPr>
        <w:pStyle w:val="af1"/>
        <w:spacing w:line="360" w:lineRule="auto"/>
        <w:ind w:left="369"/>
        <w:jc w:val="both"/>
        <w:rPr>
          <w:rFonts w:ascii="Arial" w:hAnsi="Arial"/>
          <w:b/>
          <w:bCs/>
          <w:noProof w:val="0"/>
          <w:rtl/>
        </w:rPr>
      </w:pPr>
      <w:r w:rsidRPr="00F11434">
        <w:rPr>
          <w:rFonts w:ascii="Arial" w:hAnsi="Arial" w:hint="cs"/>
          <w:b/>
          <w:bCs/>
          <w:noProof w:val="0"/>
          <w:rtl/>
        </w:rPr>
        <w:t xml:space="preserve">אם יש לי חשש שהלקוח אינו מבין על מה הוא חותם מכל סיבה שהיא </w:t>
      </w:r>
      <w:r w:rsidRPr="00F11434">
        <w:rPr>
          <w:rFonts w:ascii="Arial" w:hAnsi="Arial"/>
          <w:b/>
          <w:bCs/>
          <w:noProof w:val="0"/>
          <w:rtl/>
        </w:rPr>
        <w:t>–</w:t>
      </w:r>
      <w:r w:rsidRPr="00F11434">
        <w:rPr>
          <w:rFonts w:ascii="Arial" w:hAnsi="Arial" w:hint="cs"/>
          <w:b/>
          <w:bCs/>
          <w:noProof w:val="0"/>
          <w:rtl/>
        </w:rPr>
        <w:t xml:space="preserve"> לא אחתים אותו על המסמך. </w:t>
      </w:r>
    </w:p>
    <w:p w:rsidR="00FB4A98" w:rsidRDefault="00FB4A98" w:rsidP="00FB4A98">
      <w:pPr>
        <w:pStyle w:val="af1"/>
        <w:spacing w:line="360" w:lineRule="auto"/>
        <w:ind w:left="369"/>
        <w:jc w:val="both"/>
        <w:rPr>
          <w:rFonts w:ascii="Arial" w:hAnsi="Arial"/>
          <w:noProof w:val="0"/>
          <w:rtl/>
        </w:rPr>
      </w:pPr>
      <w:r w:rsidRPr="00F11434">
        <w:rPr>
          <w:rFonts w:ascii="Arial" w:hAnsi="Arial" w:hint="cs"/>
          <w:b/>
          <w:bCs/>
          <w:noProof w:val="0"/>
          <w:rtl/>
        </w:rPr>
        <w:t>אני משוכנעת שאם הייתי מתרשמת שהתובעת אינה מבינה על מה היא חותמת (אם בשל קשיים בהבנת העברית ואם בשל כל סיבה אחרת) לא הייתי מחתימה אותה על המסמכים מיום 01.01.18</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כן הוסיפה (בסעיף 6) כי ביום שני בשבוע שבו נחתמה הערבות, הסניף נסגר בשעה 18:30 (כלומר, שהסניף לא נפתח במיוחד עבור התובעים).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lastRenderedPageBreak/>
        <w:t xml:space="preserve">בחקירתה (מיום 19.10.22, עמ' 302-292) היא אישרה שהיא איננה זוכרת את המקרה הספציפי, אך דרך קבע היא נוהגת על-פי נוהלי הבנק ומסבירה, קודם לחתימה על מסמכי הערבות, עבור מי ניתנת הערבות, מה סכומה ויתר הפרטים העיקריים הנדרשים.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היא הוסיפה (עמ' 294) שקודם לחותמת שצוינה על-ידי התובעים הוחתמה חותמת נוספת, שבה צוין שהיא הסבירה לערבה את כל הנדרש. כן הוסיפה (עמ' 297): "</w:t>
      </w:r>
      <w:r w:rsidRPr="00D72AC6">
        <w:rPr>
          <w:rFonts w:ascii="Arial" w:hAnsi="Arial" w:hint="cs"/>
          <w:b/>
          <w:bCs/>
          <w:noProof w:val="0"/>
          <w:rtl/>
        </w:rPr>
        <w:t>אני כן בודקת שיש הבנה על מה הערב חותם</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סכום הערבות הוגבל ל-4 מיליון ₪.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גלנץ הסבירה (בחקירתה מיום 2.10.22, עמ' 120) כי הערבות לא ניתנה להלוואה הספציפית בלבד, "</w:t>
      </w:r>
      <w:r w:rsidRPr="00786022">
        <w:rPr>
          <w:rFonts w:ascii="Arial" w:hAnsi="Arial" w:hint="cs"/>
          <w:b/>
          <w:bCs/>
          <w:noProof w:val="0"/>
          <w:rtl/>
        </w:rPr>
        <w:t>הערבות היא היית</w:t>
      </w:r>
      <w:r w:rsidRPr="00786022">
        <w:rPr>
          <w:rFonts w:ascii="Arial" w:hAnsi="Arial" w:hint="eastAsia"/>
          <w:b/>
          <w:bCs/>
          <w:noProof w:val="0"/>
          <w:rtl/>
        </w:rPr>
        <w:t>ה</w:t>
      </w:r>
      <w:r w:rsidRPr="00786022">
        <w:rPr>
          <w:rFonts w:ascii="Arial" w:hAnsi="Arial" w:hint="cs"/>
          <w:b/>
          <w:bCs/>
          <w:noProof w:val="0"/>
          <w:rtl/>
        </w:rPr>
        <w:t xml:space="preserve"> לכל כלל החבויות בחשבון</w:t>
      </w:r>
      <w:r>
        <w:rPr>
          <w:rFonts w:ascii="Arial" w:hAnsi="Arial" w:hint="cs"/>
          <w:noProof w:val="0"/>
          <w:rtl/>
        </w:rPr>
        <w:t xml:space="preserve">" (חשבון בלאק קיוב).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אין חולק שסכום הערבות צוין בכתב הערבות גם בספרות, כשהתובעת הוחתמה בנפרד בסמוך לסכום.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כאמור, התובעים הם אנשים משכילים ואמידים, התובעת היה איש עסקים ובעל חברה שהעסיקה עשרות עובדים, כך שמסתבר מאוד שהם בדקו מהו סכום הערבות. </w:t>
      </w:r>
    </w:p>
    <w:p w:rsidR="00FB4A98" w:rsidRPr="00B368AA"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בסופו-של-דבר ערבות זו לא מומשה.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למרות זאת, ראיתי חשיבות בתיאור הדברים, מאחר שהתובעים ביקשו להראות "שיטה" בהתנהלות הנתבע.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מסקנתי לאור כל האמור לעיל היא, שהתובעים הבינו מה מטרת הגעתם לסניף הבנק בירושלים: כדי שהתובעת תחתום על ערבות לחובות בלאק קיוב, חברה קשורה לבנם, לצורך נטילת הלוואה שנדרשה לעסקי החברה, הם ראו וידעו כי הערבות מוגבלת לסכום של 4 מיליון ₪, וכל זאת הם עשו לבקשתו של בנם ב'. כמו  כן, החתימה בסניף בירושלים נעשתה לבקשתם.</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מסקנתי היא גם שסימוני הסבירה לתובעים את עיקרי הדברים ולא טרחה להסביר פרטים נוספים, משום שהתובעים לא התעניינו בהם.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מכל-מקום, התובעים לא פירטו אלו פרטים נוספים סימוני היית</w:t>
      </w:r>
      <w:r>
        <w:rPr>
          <w:rFonts w:ascii="Arial" w:hAnsi="Arial" w:hint="eastAsia"/>
          <w:noProof w:val="0"/>
          <w:rtl/>
        </w:rPr>
        <w:t>ה</w:t>
      </w:r>
      <w:r>
        <w:rPr>
          <w:rFonts w:ascii="Arial" w:hAnsi="Arial" w:hint="cs"/>
          <w:noProof w:val="0"/>
          <w:rtl/>
        </w:rPr>
        <w:t xml:space="preserve"> צריכה להסביר להם וכיצד, אם בכלל, היה בהם כדי להשפיע על הסכמת התובעת לחתום על הערבות.  </w:t>
      </w:r>
    </w:p>
    <w:p w:rsidR="00FB4A98" w:rsidRDefault="00FB4A98" w:rsidP="00FB4A98">
      <w:pPr>
        <w:spacing w:line="360" w:lineRule="auto"/>
        <w:jc w:val="both"/>
        <w:rPr>
          <w:rFonts w:ascii="Arial" w:hAnsi="Arial"/>
          <w:noProof w:val="0"/>
          <w:rtl/>
        </w:rPr>
      </w:pPr>
    </w:p>
    <w:p w:rsidR="00FB4A98" w:rsidRPr="00942C16" w:rsidRDefault="00FB4A98" w:rsidP="00FB4A98">
      <w:pPr>
        <w:spacing w:line="360" w:lineRule="auto"/>
        <w:jc w:val="both"/>
        <w:rPr>
          <w:rFonts w:ascii="Arial" w:hAnsi="Arial"/>
          <w:b/>
          <w:bCs/>
          <w:noProof w:val="0"/>
          <w:u w:val="single"/>
        </w:rPr>
      </w:pPr>
      <w:r w:rsidRPr="00942C16">
        <w:rPr>
          <w:rFonts w:ascii="Arial" w:hAnsi="Arial" w:hint="cs"/>
          <w:b/>
          <w:bCs/>
          <w:noProof w:val="0"/>
          <w:u w:val="single"/>
          <w:rtl/>
        </w:rPr>
        <w:t xml:space="preserve">הערבות השנייה מיום 11.1.2018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גלנץ סיפרה בתצהירה (סעיפים 38-34) כי סמוך לאחר חתימת הערבות הראשונה פנו אליה מאור וב' והודיעו לה כי אחת הלקוחות העיקריות של החברה המרכזית נקלעה לקשיים וכל השיקים המתועדים המשוכים על ידה ושהופקדו בבנק (בין היתר, להבטחת פירעון מסגרת האשראי של החברה) עשויים שלא להיפרע, ולכן הם הציעו שבמקומם תועמד הלוואה לחברה </w:t>
      </w:r>
      <w:r>
        <w:rPr>
          <w:rFonts w:ascii="Arial" w:hAnsi="Arial" w:hint="cs"/>
          <w:noProof w:val="0"/>
          <w:rtl/>
        </w:rPr>
        <w:lastRenderedPageBreak/>
        <w:t xml:space="preserve">על סך חצי מיליון ₪, ולשם הבטחת השבתה תפוצל הערבות הראשונה שנחתמה על-ידי התובעת לשניים: ערבות על סך 3.5 מיליון ₪ לבלאק קיוב וערבות על סך 0.5 מיליון ₪ לחברה המרכזית.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הנתבע הסכים לכך.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לבקשת התובעים, גם ערבות זו שפוצלה כאמור לשני חלקים נחתמה בסניף בירושלים.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התובע סיפר בתצהירו (סעיפים 43 ואילך), כי ב' פנה אליהם וביקש מהם לשוב ולחתום על ערבות חדשה בסניף בירושלים, משום שהחתימה הקודמת "</w:t>
      </w:r>
      <w:r w:rsidRPr="00EE402C">
        <w:rPr>
          <w:rFonts w:ascii="Arial" w:hAnsi="Arial" w:hint="cs"/>
          <w:b/>
          <w:bCs/>
          <w:noProof w:val="0"/>
          <w:rtl/>
        </w:rPr>
        <w:t>לא הייתה תקינה</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ב' חזר על גרסה זו בתצהירו (סעיף 16), כשהוא מספר שהמידע על כך שהערבות הראשונה "</w:t>
      </w:r>
      <w:r w:rsidRPr="00EE402C">
        <w:rPr>
          <w:rFonts w:ascii="Arial" w:hAnsi="Arial" w:hint="cs"/>
          <w:b/>
          <w:bCs/>
          <w:noProof w:val="0"/>
          <w:rtl/>
        </w:rPr>
        <w:t>לא הייתה תקינה</w:t>
      </w:r>
      <w:r>
        <w:rPr>
          <w:rFonts w:ascii="Arial" w:hAnsi="Arial" w:hint="cs"/>
          <w:noProof w:val="0"/>
          <w:rtl/>
        </w:rPr>
        <w:t xml:space="preserve">" ולכן נדרש לשוב ולחתום על אותה ערבות, נמסר לו ממאור.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אני מתקשה להאמין לתובע, וכל שכן לב', עובד בנק בעברו, שלא טרחו לברר מה היה "לא תקין" בערבות הראשונה ומדוע נדרש לשוב ולחתום על "אותה ערבות".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מכל-מקום, גם לשיטתם, מצבה של התובעת לא הורע שכן הערבות השנייה, שסכומה הכולל כמו הערבות הראשונה, באה תחת אותה הערבות ולא נוספה אליה.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גם ביחס לערבות זו העלו התובעים אותן טענות שנטענו ביחס לחתימה על הערבות הראשונה, כי לא הוסבר להם מהות הערבות ולא ניתן להם כל הסבר.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גליקמן הוא פקיד הסניף הירושלמי שטיפל בהחתמת התובעת על מסמכי הערבות השנייה.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גם הוא לא זכר את פרטי המקרה הספציפי, אך, כמו סימוני, הוא העיד (בתצהירו) שהוא נוהג להסביר לערב את הפרטים העיקריים של המסמכים הנחתמים ומוודא שהערב מבין את כל הסבריו.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כן הוסיף, שאם היה נאמר לו שהתובעים אינם מבינים עברית או אם היה מתרשם שהם אינם מבינים את הסבריו, הוא לא היה מחתים את התובעת על הערבות.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על דבריו אלה הוא שב גם בחקירתו (מיום 19.10.22, עמ' 280-270).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גם מסקנותי ביחס לערבות השנייה זהים בעיקרם למסקנותי ביחס לערבות הראשונה: התובעים ידעו שהתובעת חותמת על ערבות לחברה הקשורה לבנה ב', התובעת עשתה זאת לבקשתו של בנה ולמענו, הם ראו את הסכום הנערב, ניתנו להם הסברים בסיסיים והם לא טרחו לברר פרטים מעבר להם, וחתימת התובעת בסניף בירושלים נעשתה לבקשת התובעים.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sidRPr="00BA4AD6">
        <w:rPr>
          <w:rFonts w:ascii="Arial" w:hAnsi="Arial" w:hint="cs"/>
          <w:b/>
          <w:bCs/>
          <w:noProof w:val="0"/>
          <w:rtl/>
        </w:rPr>
        <w:t xml:space="preserve">יחד עם זאת, לא שוכנעתי כי הוסבר לתובעת שהערבות השנייה פוצלה לשניים, באופן שנוסף חייב נוסף: החברה המרכזית, שלא הייתה החייבת בערבות הראשונה.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 xml:space="preserve">גם גלנץ וגם גליקמן לא העידו כי הסבירו נתון חשוב זה לתובעת. אמנם, המסמכים מעידים על הפיצול. יחד עם זאת, הוספת חייב נוסף לערבותו של הערב היא נתון חשוב מאין כמותו, שצריך להיות מוסבר לערב בצורה מפורשת כדי לקבל את הסכמתו המפורשת לערוב לו. הסכמה כזו אינה יכולה להתקבל בצורה משתמעת בדרך של פיצול ערבות שניתנה לחייב אחד לשתי ערבויות, האחת </w:t>
      </w:r>
      <w:r>
        <w:rPr>
          <w:rFonts w:ascii="Arial" w:hAnsi="Arial"/>
          <w:noProof w:val="0"/>
          <w:rtl/>
        </w:rPr>
        <w:t>–</w:t>
      </w:r>
      <w:r>
        <w:rPr>
          <w:rFonts w:ascii="Arial" w:hAnsi="Arial" w:hint="cs"/>
          <w:noProof w:val="0"/>
          <w:rtl/>
        </w:rPr>
        <w:t xml:space="preserve"> לאותו חייב והשנייה לחייב נוסף, גם אם סכום הערבות הכולל נותר בעינו.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למסקנה זו יש חשיבות מרכזית הנוגעת לערבות השניי</w:t>
      </w:r>
      <w:r>
        <w:rPr>
          <w:rFonts w:ascii="Arial" w:hAnsi="Arial" w:hint="eastAsia"/>
          <w:noProof w:val="0"/>
          <w:rtl/>
        </w:rPr>
        <w:t>ה</w:t>
      </w:r>
      <w:r>
        <w:rPr>
          <w:rFonts w:ascii="Arial" w:hAnsi="Arial" w:hint="cs"/>
          <w:noProof w:val="0"/>
          <w:rtl/>
        </w:rPr>
        <w:t>, משום שהערבות לבלאק קיוב (על סך 3.5 מיליון ₪) לא מומשה בסופו של דבר (הערבות השלישית שכולה ניתנה לבלאק קיוב היא שמומשה) ואילו הערבות לחברה המרכזית (על סך 0.5 מיליון ₪) היא שמומשה.</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ההסבר המפורש והמפורט בדבר פיצול הערבות הקודמת שניתנה לשתי ערבויות ולשתי חייבות נדרשה במקרה דנן במיוחד, לאור זאת, שכאמור לעיל, בעוד שבבלאק קיוב שימש ב' </w:t>
      </w:r>
      <w:r>
        <w:rPr>
          <w:rFonts w:ascii="Arial" w:hAnsi="Arial"/>
          <w:noProof w:val="0"/>
          <w:rtl/>
        </w:rPr>
        <w:t>–</w:t>
      </w:r>
      <w:r>
        <w:rPr>
          <w:rFonts w:ascii="Arial" w:hAnsi="Arial" w:hint="cs"/>
          <w:noProof w:val="0"/>
          <w:rtl/>
        </w:rPr>
        <w:t xml:space="preserve"> שלמענו הייתה מוכנה התובעת לתת את ערבותה </w:t>
      </w:r>
      <w:r>
        <w:rPr>
          <w:rFonts w:ascii="Arial" w:hAnsi="Arial"/>
          <w:noProof w:val="0"/>
          <w:rtl/>
        </w:rPr>
        <w:t>–</w:t>
      </w:r>
      <w:r>
        <w:rPr>
          <w:rFonts w:ascii="Arial" w:hAnsi="Arial" w:hint="cs"/>
          <w:noProof w:val="0"/>
          <w:rtl/>
        </w:rPr>
        <w:t xml:space="preserve"> אחד ממנהליה, הרי שמנהלה היחיד של החברה המרכזית היה מאור (אך ב' היה אחד מבעלי מניותיה, באמצעות בלאק קיוב).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 אף העיד (בחקירתו מיום 27.2.22, עמ' 68-67), שבפועל, שתי החברות שכנו בשני בניינים סמוכים: בבניין אחד שכנה קלאב קיוב והוא ישב שם, ובבניין השני שכנה החברה המרכזית, שם ישב מאור. </w:t>
      </w:r>
    </w:p>
    <w:p w:rsidR="00FB4A98" w:rsidRDefault="00FB4A98" w:rsidP="00FB4A98">
      <w:pPr>
        <w:pStyle w:val="af1"/>
        <w:spacing w:line="360" w:lineRule="auto"/>
        <w:ind w:left="369"/>
        <w:jc w:val="both"/>
        <w:rPr>
          <w:rFonts w:ascii="Arial" w:hAnsi="Arial"/>
          <w:b/>
          <w:bCs/>
          <w:noProof w:val="0"/>
          <w:rtl/>
        </w:rPr>
      </w:pPr>
      <w:r>
        <w:rPr>
          <w:rFonts w:ascii="Arial" w:hAnsi="Arial" w:hint="cs"/>
          <w:noProof w:val="0"/>
          <w:rtl/>
        </w:rPr>
        <w:t xml:space="preserve">הפסיקה נתנה דגש רב לחובת הגילוי של הבנק כלפי הערב, עד כדי ביטול מוחלט של הערבות במקרים המתאימים הן מכוח </w:t>
      </w:r>
      <w:r w:rsidRPr="002E2053">
        <w:rPr>
          <w:rFonts w:ascii="Arial" w:hAnsi="Arial" w:hint="cs"/>
          <w:b/>
          <w:bCs/>
          <w:noProof w:val="0"/>
          <w:rtl/>
        </w:rPr>
        <w:t>חוק הבנקאות (שירות ללקוח), התשמ"א-1981</w:t>
      </w:r>
      <w:r>
        <w:rPr>
          <w:rFonts w:ascii="Arial" w:hAnsi="Arial" w:hint="cs"/>
          <w:noProof w:val="0"/>
          <w:rtl/>
        </w:rPr>
        <w:t xml:space="preserve">, הן מכוח </w:t>
      </w:r>
      <w:r w:rsidRPr="002E2053">
        <w:rPr>
          <w:rFonts w:ascii="Arial" w:hAnsi="Arial" w:hint="cs"/>
          <w:b/>
          <w:bCs/>
          <w:noProof w:val="0"/>
          <w:rtl/>
        </w:rPr>
        <w:t>חוק הערבות</w:t>
      </w:r>
      <w:r>
        <w:rPr>
          <w:rFonts w:ascii="Arial" w:hAnsi="Arial" w:hint="cs"/>
          <w:noProof w:val="0"/>
          <w:rtl/>
        </w:rPr>
        <w:t xml:space="preserve">, </w:t>
      </w:r>
      <w:r w:rsidRPr="00BA4AD6">
        <w:rPr>
          <w:rFonts w:ascii="Arial" w:hAnsi="Arial" w:hint="cs"/>
          <w:b/>
          <w:bCs/>
          <w:noProof w:val="0"/>
          <w:rtl/>
        </w:rPr>
        <w:t>התשכ"ז-1967</w:t>
      </w:r>
      <w:r>
        <w:rPr>
          <w:rFonts w:ascii="Arial" w:hAnsi="Arial" w:hint="cs"/>
          <w:noProof w:val="0"/>
          <w:rtl/>
        </w:rPr>
        <w:t xml:space="preserve"> והן מכוח </w:t>
      </w:r>
      <w:r w:rsidRPr="002E2053">
        <w:rPr>
          <w:rFonts w:ascii="Arial" w:hAnsi="Arial" w:hint="cs"/>
          <w:b/>
          <w:bCs/>
          <w:noProof w:val="0"/>
          <w:rtl/>
        </w:rPr>
        <w:t>חוק החוזים (חלק כללי), התשל"ג-1973</w:t>
      </w:r>
      <w:r>
        <w:rPr>
          <w:rFonts w:ascii="Arial" w:hAnsi="Arial" w:hint="cs"/>
          <w:noProof w:val="0"/>
          <w:rtl/>
        </w:rPr>
        <w:t xml:space="preserve"> (ראו: אורי סירקין, עו"ד, </w:t>
      </w:r>
      <w:r w:rsidRPr="008F5146">
        <w:rPr>
          <w:rFonts w:ascii="Arial" w:hAnsi="Arial" w:hint="cs"/>
          <w:b/>
          <w:bCs/>
          <w:noProof w:val="0"/>
          <w:rtl/>
        </w:rPr>
        <w:t>דיני בנקאות</w:t>
      </w:r>
      <w:r>
        <w:rPr>
          <w:rFonts w:ascii="Arial" w:hAnsi="Arial" w:hint="cs"/>
          <w:noProof w:val="0"/>
          <w:rtl/>
        </w:rPr>
        <w:t xml:space="preserve">, עמ' 251 ואילך; גלעד נרקיס עו"ד ומירב מור, עו"ד, </w:t>
      </w:r>
      <w:r w:rsidRPr="001B62FD">
        <w:rPr>
          <w:rFonts w:ascii="Arial" w:hAnsi="Arial" w:hint="cs"/>
          <w:b/>
          <w:bCs/>
          <w:noProof w:val="0"/>
          <w:rtl/>
        </w:rPr>
        <w:t>חובות החלים על בנקים</w:t>
      </w:r>
      <w:r>
        <w:rPr>
          <w:rFonts w:ascii="Arial" w:hAnsi="Arial" w:hint="cs"/>
          <w:noProof w:val="0"/>
          <w:rtl/>
        </w:rPr>
        <w:t>, עמ' 348</w:t>
      </w:r>
      <w:r>
        <w:rPr>
          <w:rFonts w:ascii="Arial" w:hAnsi="Arial" w:hint="cs"/>
          <w:b/>
          <w:bCs/>
          <w:noProof w:val="0"/>
          <w:rtl/>
        </w:rPr>
        <w:t>).</w:t>
      </w:r>
    </w:p>
    <w:p w:rsidR="00FB4A98" w:rsidRPr="00BA4AD6" w:rsidRDefault="00FB4A98" w:rsidP="00FB4A98">
      <w:pPr>
        <w:pStyle w:val="af1"/>
        <w:spacing w:line="360" w:lineRule="auto"/>
        <w:ind w:left="369"/>
        <w:jc w:val="both"/>
        <w:rPr>
          <w:rFonts w:ascii="Arial" w:hAnsi="Arial"/>
          <w:b/>
          <w:bCs/>
          <w:noProof w:val="0"/>
          <w:rtl/>
        </w:rPr>
      </w:pPr>
      <w:r w:rsidRPr="00BA4AD6">
        <w:rPr>
          <w:rFonts w:ascii="Arial" w:hAnsi="Arial" w:hint="cs"/>
          <w:b/>
          <w:bCs/>
          <w:noProof w:val="0"/>
          <w:rtl/>
        </w:rPr>
        <w:t xml:space="preserve">מסקנה זו מצדיקה, לדעתי, את ביטולה של הערבות שניתנה לחברה המרכזית. </w:t>
      </w:r>
    </w:p>
    <w:p w:rsidR="00FB4A98" w:rsidRDefault="00FB4A98" w:rsidP="00FB4A98">
      <w:pPr>
        <w:pStyle w:val="af1"/>
        <w:spacing w:line="360" w:lineRule="auto"/>
        <w:ind w:left="369"/>
        <w:jc w:val="both"/>
        <w:rPr>
          <w:rFonts w:ascii="Arial" w:hAnsi="Arial"/>
          <w:noProof w:val="0"/>
          <w:rtl/>
        </w:rPr>
      </w:pPr>
      <w:r>
        <w:rPr>
          <w:rFonts w:ascii="Arial" w:hAnsi="Arial" w:hint="cs"/>
          <w:b/>
          <w:bCs/>
          <w:noProof w:val="0"/>
          <w:rtl/>
        </w:rPr>
        <w:t xml:space="preserve"> </w:t>
      </w:r>
    </w:p>
    <w:p w:rsidR="00FB4A98" w:rsidRDefault="00FB4A98" w:rsidP="00FB4A98">
      <w:pPr>
        <w:spacing w:line="360" w:lineRule="auto"/>
        <w:jc w:val="both"/>
        <w:rPr>
          <w:rFonts w:ascii="Arial" w:hAnsi="Arial"/>
          <w:noProof w:val="0"/>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Pr="001C4FAA" w:rsidRDefault="00FB4A98" w:rsidP="00FB4A98">
      <w:pPr>
        <w:spacing w:line="360" w:lineRule="auto"/>
        <w:jc w:val="both"/>
        <w:rPr>
          <w:rFonts w:ascii="Arial" w:hAnsi="Arial"/>
          <w:b/>
          <w:bCs/>
          <w:noProof w:val="0"/>
          <w:u w:val="single"/>
        </w:rPr>
      </w:pPr>
      <w:r w:rsidRPr="001C4FAA">
        <w:rPr>
          <w:rFonts w:ascii="Arial" w:hAnsi="Arial" w:hint="cs"/>
          <w:b/>
          <w:bCs/>
          <w:noProof w:val="0"/>
          <w:u w:val="single"/>
          <w:rtl/>
        </w:rPr>
        <w:t xml:space="preserve">הערבות השלישית מיום 7.6.2018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גלנץ, שבפניה חתמה התובעת בסניף בני-ברק על הערבות השלישית לבלאק קיוב, שמומשה בסופו-של-דבר, סיפרה בתצהירה (סעיפים 46-43) על הרקע לחתימה על הערבות ועל מעמד החתימה כדלקמן: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בחודש יוני 2018 ביקשה בלאק קיוב אשראי נוסף בסך 800,000 ₪ לצורך הגדלת פעילותה, לאחר שלטענתה היא זכתה במכרז לרכישת מכשירי סלולר מקולקלים. מאור הציע שהבטחת </w:t>
      </w:r>
      <w:r>
        <w:rPr>
          <w:rFonts w:ascii="Arial" w:hAnsi="Arial" w:hint="cs"/>
          <w:noProof w:val="0"/>
          <w:rtl/>
        </w:rPr>
        <w:lastRenderedPageBreak/>
        <w:t xml:space="preserve">אשראי זה תיעשה על דרך הגדלת הערבות של התובעת לבלאק קיוב מ-4 מיליון ל-4.5 מיליון ₪.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גלנץ לא זכרה אם ב' השתתף באותה שיחה, אך ב' הגיע בפועל עם הוריו לחתימת הערבות.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גלנץ עמדה על כך שהחתימה על ערבות זו תיעשה בסניף בני-ברק.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ביום 7.6.2018 הגיעו התובעים לסניף בני-ברק, יחד עם בנם ב', והתובעת חתמה על מסמכי הערבות. </w:t>
      </w:r>
    </w:p>
    <w:p w:rsidR="00FB4A98" w:rsidRPr="00D6495A" w:rsidRDefault="00FB4A98" w:rsidP="00FB4A98">
      <w:pPr>
        <w:pStyle w:val="af1"/>
        <w:spacing w:line="360" w:lineRule="auto"/>
        <w:ind w:left="369"/>
        <w:jc w:val="both"/>
        <w:rPr>
          <w:rFonts w:ascii="Arial" w:hAnsi="Arial"/>
          <w:b/>
          <w:bCs/>
          <w:noProof w:val="0"/>
          <w:rtl/>
        </w:rPr>
      </w:pPr>
      <w:r>
        <w:rPr>
          <w:rFonts w:ascii="Arial" w:hAnsi="Arial" w:hint="cs"/>
          <w:noProof w:val="0"/>
          <w:rtl/>
        </w:rPr>
        <w:t>כך תיארה גלנץ את מעמד החתימה: "</w:t>
      </w:r>
      <w:r>
        <w:rPr>
          <w:rFonts w:ascii="Arial" w:hAnsi="Arial" w:hint="cs"/>
          <w:b/>
          <w:bCs/>
          <w:noProof w:val="0"/>
          <w:rtl/>
        </w:rPr>
        <w:t>47. מעמד החתימה מ</w:t>
      </w:r>
      <w:r w:rsidRPr="00D6495A">
        <w:rPr>
          <w:rFonts w:ascii="Arial" w:hAnsi="Arial" w:hint="cs"/>
          <w:b/>
          <w:bCs/>
          <w:noProof w:val="0"/>
          <w:rtl/>
        </w:rPr>
        <w:t>י</w:t>
      </w:r>
      <w:r>
        <w:rPr>
          <w:rFonts w:ascii="Arial" w:hAnsi="Arial" w:hint="cs"/>
          <w:b/>
          <w:bCs/>
          <w:noProof w:val="0"/>
          <w:rtl/>
        </w:rPr>
        <w:t>ו</w:t>
      </w:r>
      <w:r w:rsidRPr="00D6495A">
        <w:rPr>
          <w:rFonts w:ascii="Arial" w:hAnsi="Arial" w:hint="cs"/>
          <w:b/>
          <w:bCs/>
          <w:noProof w:val="0"/>
          <w:rtl/>
        </w:rPr>
        <w:t>ם 07.06.2018 זכור לי ה</w:t>
      </w:r>
      <w:r>
        <w:rPr>
          <w:rFonts w:ascii="Arial" w:hAnsi="Arial" w:hint="cs"/>
          <w:b/>
          <w:bCs/>
          <w:noProof w:val="0"/>
          <w:rtl/>
        </w:rPr>
        <w:t>יט</w:t>
      </w:r>
      <w:r w:rsidRPr="00D6495A">
        <w:rPr>
          <w:rFonts w:ascii="Arial" w:hAnsi="Arial" w:hint="cs"/>
          <w:b/>
          <w:bCs/>
          <w:noProof w:val="0"/>
          <w:rtl/>
        </w:rPr>
        <w:t xml:space="preserve">ב ובבירור. הסברתי לתובעת בעברית מהם המסמכים עליהם היא חותמת והתרשמתי כי שני התובעים מבינים את הדברים היטב. בתוך כך הסברתי לתובעת כי היא חותמת על כתב ערבות, הסבתי את תשומת ליבה לסכומו </w:t>
      </w:r>
      <w:r w:rsidRPr="00D6495A">
        <w:rPr>
          <w:rFonts w:ascii="Arial" w:hAnsi="Arial"/>
          <w:b/>
          <w:bCs/>
          <w:noProof w:val="0"/>
          <w:rtl/>
        </w:rPr>
        <w:t>–</w:t>
      </w:r>
      <w:r w:rsidRPr="00D6495A">
        <w:rPr>
          <w:rFonts w:ascii="Arial" w:hAnsi="Arial" w:hint="cs"/>
          <w:b/>
          <w:bCs/>
          <w:noProof w:val="0"/>
          <w:rtl/>
        </w:rPr>
        <w:t xml:space="preserve"> 4,500,000 ₪ (והתובעת אף חתמה ליד הסכום), הפנ</w:t>
      </w:r>
      <w:r>
        <w:rPr>
          <w:rFonts w:ascii="Arial" w:hAnsi="Arial" w:hint="cs"/>
          <w:b/>
          <w:bCs/>
          <w:noProof w:val="0"/>
          <w:rtl/>
        </w:rPr>
        <w:t>י</w:t>
      </w:r>
      <w:r w:rsidRPr="00D6495A">
        <w:rPr>
          <w:rFonts w:ascii="Arial" w:hAnsi="Arial" w:hint="cs"/>
          <w:b/>
          <w:bCs/>
          <w:noProof w:val="0"/>
          <w:rtl/>
        </w:rPr>
        <w:t xml:space="preserve">תי את תשומת ליבה לסכומי החוב הנקובים בהודעה לערב ולכך שהערבות היא לכל ההתחייבויות המגיעות ושיגיעו לבנק מהחברה. </w:t>
      </w:r>
    </w:p>
    <w:p w:rsidR="00FB4A98" w:rsidRPr="00D6495A" w:rsidRDefault="00FB4A98" w:rsidP="00FB4A98">
      <w:pPr>
        <w:pStyle w:val="af1"/>
        <w:spacing w:line="360" w:lineRule="auto"/>
        <w:ind w:left="369"/>
        <w:jc w:val="both"/>
        <w:rPr>
          <w:rFonts w:ascii="Arial" w:hAnsi="Arial"/>
          <w:b/>
          <w:bCs/>
          <w:noProof w:val="0"/>
          <w:rtl/>
        </w:rPr>
      </w:pPr>
      <w:r w:rsidRPr="00D6495A">
        <w:rPr>
          <w:rFonts w:ascii="Arial" w:hAnsi="Arial" w:hint="cs"/>
          <w:b/>
          <w:bCs/>
          <w:noProof w:val="0"/>
          <w:rtl/>
        </w:rPr>
        <w:t>התובעים היו קשובים מאוד להסברים ו</w:t>
      </w:r>
      <w:r>
        <w:rPr>
          <w:rFonts w:ascii="Arial" w:hAnsi="Arial" w:hint="cs"/>
          <w:b/>
          <w:bCs/>
          <w:noProof w:val="0"/>
          <w:rtl/>
        </w:rPr>
        <w:t>ל</w:t>
      </w:r>
      <w:r w:rsidRPr="00D6495A">
        <w:rPr>
          <w:rFonts w:ascii="Arial" w:hAnsi="Arial" w:hint="cs"/>
          <w:b/>
          <w:bCs/>
          <w:noProof w:val="0"/>
          <w:rtl/>
        </w:rPr>
        <w:t xml:space="preserve">דברים שנאמרו על ידי במועד החתימה, והיה ברור שהם יודעים לשם מה באו לסניף. הרושם הברור שהתקבל מהתובעים הוא כי התובעת מסכימה להיות ערבה לחוב החברה, ואין להם התנגדות לקיומה. </w:t>
      </w:r>
    </w:p>
    <w:p w:rsidR="00FB4A98" w:rsidRPr="00D6495A" w:rsidRDefault="00FB4A98" w:rsidP="00FB4A98">
      <w:pPr>
        <w:pStyle w:val="af1"/>
        <w:spacing w:line="360" w:lineRule="auto"/>
        <w:ind w:left="369"/>
        <w:jc w:val="both"/>
        <w:rPr>
          <w:rFonts w:ascii="Arial" w:hAnsi="Arial"/>
          <w:b/>
          <w:bCs/>
          <w:noProof w:val="0"/>
          <w:rtl/>
        </w:rPr>
      </w:pPr>
      <w:r>
        <w:rPr>
          <w:rFonts w:ascii="Arial" w:hAnsi="Arial" w:hint="cs"/>
          <w:b/>
          <w:bCs/>
          <w:noProof w:val="0"/>
          <w:rtl/>
        </w:rPr>
        <w:t>48. זכור</w:t>
      </w:r>
      <w:r w:rsidRPr="00D6495A">
        <w:rPr>
          <w:rFonts w:ascii="Arial" w:hAnsi="Arial" w:hint="cs"/>
          <w:b/>
          <w:bCs/>
          <w:noProof w:val="0"/>
          <w:rtl/>
        </w:rPr>
        <w:t xml:space="preserve"> לי שבתום החתימה על המסמכים </w:t>
      </w:r>
      <w:r w:rsidRPr="00D6495A">
        <w:rPr>
          <w:rFonts w:ascii="Arial" w:hAnsi="Arial"/>
          <w:b/>
          <w:bCs/>
          <w:noProof w:val="0"/>
          <w:rtl/>
        </w:rPr>
        <w:t>–</w:t>
      </w:r>
      <w:r w:rsidRPr="00D6495A">
        <w:rPr>
          <w:rFonts w:ascii="Arial" w:hAnsi="Arial" w:hint="cs"/>
          <w:b/>
          <w:bCs/>
          <w:noProof w:val="0"/>
          <w:rtl/>
        </w:rPr>
        <w:t xml:space="preserve"> התובע ... אמר לי בעברית (כשחיוך על פניו ובנימה שהיה ברור ממנה שהוא מדבר בהומור וציניות) "את יודעת שאנחנו לא משלמים ערבויות" ואני ליתר ביטחון הגבתי בטון רציני ואמרתי שערבות זו תקפה לכל דבר ועניין. </w:t>
      </w:r>
    </w:p>
    <w:p w:rsidR="00FB4A98" w:rsidRPr="00D6495A" w:rsidRDefault="00FB4A98" w:rsidP="00FB4A98">
      <w:pPr>
        <w:pStyle w:val="af1"/>
        <w:spacing w:line="360" w:lineRule="auto"/>
        <w:ind w:left="369"/>
        <w:jc w:val="both"/>
        <w:rPr>
          <w:rFonts w:ascii="Arial" w:hAnsi="Arial"/>
          <w:b/>
          <w:bCs/>
          <w:noProof w:val="0"/>
          <w:rtl/>
        </w:rPr>
      </w:pPr>
      <w:r w:rsidRPr="00D6495A">
        <w:rPr>
          <w:rFonts w:ascii="Arial" w:hAnsi="Arial" w:hint="cs"/>
          <w:b/>
          <w:bCs/>
          <w:noProof w:val="0"/>
          <w:rtl/>
        </w:rPr>
        <w:t xml:space="preserve">זכור לי כי בכל מהלך החתימה על המסמכים שלעיל, ב' ישב עם הוריו (צמוד אליהם מאחוריהם בטווח שמיעה) וראה את אימו (התובעת) חותמת על המסמכים. </w:t>
      </w:r>
    </w:p>
    <w:p w:rsidR="00FB4A98" w:rsidRDefault="00FB4A98" w:rsidP="00FB4A98">
      <w:pPr>
        <w:pStyle w:val="af1"/>
        <w:spacing w:line="360" w:lineRule="auto"/>
        <w:ind w:left="369"/>
        <w:jc w:val="both"/>
        <w:rPr>
          <w:rFonts w:ascii="Arial" w:hAnsi="Arial"/>
          <w:b/>
          <w:bCs/>
          <w:noProof w:val="0"/>
          <w:rtl/>
        </w:rPr>
      </w:pPr>
      <w:r w:rsidRPr="00D6495A">
        <w:rPr>
          <w:rFonts w:ascii="Arial" w:hAnsi="Arial" w:hint="cs"/>
          <w:b/>
          <w:bCs/>
          <w:noProof w:val="0"/>
          <w:rtl/>
        </w:rPr>
        <w:t xml:space="preserve">49. התובעת, בעלה התובעת ובנם ב' </w:t>
      </w:r>
      <w:r w:rsidRPr="00D6495A">
        <w:rPr>
          <w:rFonts w:ascii="Arial" w:hAnsi="Arial"/>
          <w:b/>
          <w:bCs/>
          <w:noProof w:val="0"/>
          <w:rtl/>
        </w:rPr>
        <w:t>–</w:t>
      </w:r>
      <w:r w:rsidRPr="00D6495A">
        <w:rPr>
          <w:rFonts w:ascii="Arial" w:hAnsi="Arial" w:hint="cs"/>
          <w:b/>
          <w:bCs/>
          <w:noProof w:val="0"/>
          <w:rtl/>
        </w:rPr>
        <w:t xml:space="preserve"> שלושתם </w:t>
      </w:r>
      <w:r w:rsidRPr="00D6495A">
        <w:rPr>
          <w:rFonts w:ascii="Arial" w:hAnsi="Arial"/>
          <w:b/>
          <w:bCs/>
          <w:noProof w:val="0"/>
          <w:rtl/>
        </w:rPr>
        <w:t>–</w:t>
      </w:r>
      <w:r w:rsidRPr="00D6495A">
        <w:rPr>
          <w:rFonts w:ascii="Arial" w:hAnsi="Arial" w:hint="cs"/>
          <w:b/>
          <w:bCs/>
          <w:noProof w:val="0"/>
          <w:rtl/>
        </w:rPr>
        <w:t xml:space="preserve"> לא אמרו לי דבר מן הדברים שנטענים על ידם עתה בכתב התביעה, קרי: כי התובעת אינה מבינה או אינה קוראת בעברית או שהיא אינה במצב בו היא מבינה על מה היא חותמת (לא באותו מעמד ולא בשום הזדמנות אחרת)". </w:t>
      </w:r>
    </w:p>
    <w:p w:rsidR="00FB4A98" w:rsidRPr="00D6495A" w:rsidRDefault="00FB4A98" w:rsidP="00FB4A98">
      <w:pPr>
        <w:pStyle w:val="af1"/>
        <w:spacing w:line="360" w:lineRule="auto"/>
        <w:ind w:left="369"/>
        <w:jc w:val="both"/>
        <w:rPr>
          <w:rFonts w:ascii="Arial" w:hAnsi="Arial"/>
          <w:b/>
          <w:bCs/>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גלנץ הוסיפה וסיפרה בתצהירה (סעיף 52): "</w:t>
      </w:r>
      <w:r w:rsidRPr="00AE3875">
        <w:rPr>
          <w:rFonts w:ascii="Arial" w:hAnsi="Arial" w:hint="cs"/>
          <w:b/>
          <w:bCs/>
          <w:noProof w:val="0"/>
          <w:rtl/>
        </w:rPr>
        <w:t xml:space="preserve">יודגש כי ביום 20.06.18 </w:t>
      </w:r>
      <w:r w:rsidRPr="00AE3875">
        <w:rPr>
          <w:rFonts w:ascii="Arial" w:hAnsi="Arial"/>
          <w:b/>
          <w:bCs/>
          <w:noProof w:val="0"/>
          <w:rtl/>
        </w:rPr>
        <w:t>–</w:t>
      </w:r>
      <w:r w:rsidRPr="00AE3875">
        <w:rPr>
          <w:rFonts w:ascii="Arial" w:hAnsi="Arial" w:hint="cs"/>
          <w:b/>
          <w:bCs/>
          <w:noProof w:val="0"/>
          <w:rtl/>
        </w:rPr>
        <w:t xml:space="preserve"> לאחר חתימת התובעת על כתב הערבות מיום 07.06.18 וטרם שהבנק אישר העמדת אשראי נוסף בחשבון בלאק קיוב </w:t>
      </w:r>
      <w:r w:rsidRPr="00AE3875">
        <w:rPr>
          <w:rFonts w:ascii="Arial" w:hAnsi="Arial"/>
          <w:b/>
          <w:bCs/>
          <w:noProof w:val="0"/>
          <w:rtl/>
        </w:rPr>
        <w:t>–</w:t>
      </w:r>
      <w:r w:rsidRPr="00AE3875">
        <w:rPr>
          <w:rFonts w:ascii="Arial" w:hAnsi="Arial" w:hint="cs"/>
          <w:b/>
          <w:bCs/>
          <w:noProof w:val="0"/>
          <w:rtl/>
        </w:rPr>
        <w:t xml:space="preserve"> התקשרתי לתובעים בפלאפון (הם שהו אותה העת בחו"ל). הבהרת</w:t>
      </w:r>
      <w:r>
        <w:rPr>
          <w:rFonts w:ascii="Arial" w:hAnsi="Arial" w:hint="cs"/>
          <w:b/>
          <w:bCs/>
          <w:noProof w:val="0"/>
          <w:rtl/>
        </w:rPr>
        <w:t>י</w:t>
      </w:r>
      <w:r w:rsidRPr="00AE3875">
        <w:rPr>
          <w:rFonts w:ascii="Arial" w:hAnsi="Arial" w:hint="cs"/>
          <w:b/>
          <w:bCs/>
          <w:noProof w:val="0"/>
          <w:rtl/>
        </w:rPr>
        <w:t xml:space="preserve"> ל[תובע] שאנחנו מגדילים את האשראי בחשבון בלאק קיוב ומעמידים אשראי נוסף בסך של 800,000 ₪ ושאנו מסתמכים על הערבות של התובעת לצורך כך והוא אישר לי. לאחר מכן ביקשתי לדבר עם ... (התובעת) וגם היא אישרה לי. זכור לי היטב שהיא אמרה לי "זה הבן שלי ... שאני לא אאשר בשבילו?" כל השיחה עם התובעים התקיימה בעברית כמובן".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עדות זו נתמכה בעדות של בכר (סעיף 40 לתצהירו), שבה סיפר כי לאחר חתימת התובעת על הערבות השלישית ולפני העמדת האשראי הנוסף, הוא ביקש מגלנץ להתקשר לתובעים כדי </w:t>
      </w:r>
      <w:r>
        <w:rPr>
          <w:rFonts w:ascii="Arial" w:hAnsi="Arial" w:hint="cs"/>
          <w:noProof w:val="0"/>
          <w:rtl/>
        </w:rPr>
        <w:lastRenderedPageBreak/>
        <w:t xml:space="preserve">לקבל את הסכמתם לכך שהערבות תחול גם על אשראי זה, גלנץ עשתה זאת ודיווחה כי התובעים מאשרים. </w:t>
      </w:r>
    </w:p>
    <w:p w:rsidR="00FB4A98" w:rsidRDefault="00FB4A98" w:rsidP="00FB4A98">
      <w:pPr>
        <w:pStyle w:val="af1"/>
        <w:spacing w:line="360" w:lineRule="auto"/>
        <w:ind w:left="369"/>
        <w:jc w:val="both"/>
        <w:rPr>
          <w:rFonts w:ascii="Arial" w:hAnsi="Arial"/>
          <w:noProof w:val="0"/>
        </w:rPr>
      </w:pPr>
    </w:p>
    <w:p w:rsidR="00FB4A98" w:rsidRPr="002E2053" w:rsidRDefault="00FB4A98" w:rsidP="00FB4A98">
      <w:pPr>
        <w:pStyle w:val="af1"/>
        <w:numPr>
          <w:ilvl w:val="0"/>
          <w:numId w:val="1"/>
        </w:numPr>
        <w:spacing w:line="360" w:lineRule="auto"/>
        <w:ind w:left="369"/>
        <w:jc w:val="both"/>
        <w:rPr>
          <w:rFonts w:ascii="Arial" w:hAnsi="Arial"/>
          <w:noProof w:val="0"/>
          <w:rtl/>
        </w:rPr>
      </w:pPr>
      <w:r>
        <w:rPr>
          <w:rFonts w:ascii="Arial" w:hAnsi="Arial" w:hint="cs"/>
          <w:noProof w:val="0"/>
          <w:rtl/>
        </w:rPr>
        <w:t xml:space="preserve"> גלנץ חזרה בחקירתה הארוכה (מיום 2.11.22, עמ' 193-77) על עיקרי הדברים שבתצהירה </w:t>
      </w:r>
      <w:r w:rsidRPr="002E2053">
        <w:rPr>
          <w:rFonts w:ascii="Arial" w:hAnsi="Arial" w:hint="cs"/>
          <w:noProof w:val="0"/>
          <w:rtl/>
        </w:rPr>
        <w:t>(עמ' 26)</w:t>
      </w:r>
      <w:r>
        <w:rPr>
          <w:rFonts w:ascii="Arial" w:hAnsi="Arial" w:hint="cs"/>
          <w:noProof w:val="0"/>
          <w:rtl/>
        </w:rPr>
        <w:t xml:space="preserve">: </w:t>
      </w:r>
      <w:r w:rsidRPr="002E2053">
        <w:rPr>
          <w:rFonts w:ascii="Arial" w:hAnsi="Arial" w:hint="cs"/>
          <w:noProof w:val="0"/>
          <w:rtl/>
        </w:rPr>
        <w:t>"</w:t>
      </w:r>
      <w:r w:rsidRPr="002E2053">
        <w:rPr>
          <w:rFonts w:ascii="Arial" w:hAnsi="Arial" w:hint="cs"/>
          <w:b/>
          <w:bCs/>
          <w:noProof w:val="0"/>
          <w:rtl/>
        </w:rPr>
        <w:t>אני הסברתי משהו שאמורים להסביר והם מבחינתם הראו נכונות שתהיה ערבות, הם רצו לסייע לבן שלהם... זה היה נראה שהם מודעים, יודעים למה הם באו והם לא הראו שהם נצרכים לקבל מידע נוסף מעבר למה שאמרתי</w:t>
      </w:r>
      <w:r w:rsidRPr="002E2053">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(עמ' 127): "[התובע] </w:t>
      </w:r>
      <w:r w:rsidRPr="002E2053">
        <w:rPr>
          <w:rFonts w:ascii="Arial" w:hAnsi="Arial" w:hint="cs"/>
          <w:b/>
          <w:bCs/>
          <w:noProof w:val="0"/>
          <w:rtl/>
        </w:rPr>
        <w:t>יושב מצד שמאל שלי</w:t>
      </w:r>
      <w:r>
        <w:rPr>
          <w:rFonts w:ascii="Arial" w:hAnsi="Arial" w:hint="cs"/>
          <w:noProof w:val="0"/>
          <w:rtl/>
        </w:rPr>
        <w:t xml:space="preserve">, [התובעת] </w:t>
      </w:r>
      <w:r w:rsidRPr="002E2053">
        <w:rPr>
          <w:rFonts w:ascii="Arial" w:hAnsi="Arial" w:hint="cs"/>
          <w:b/>
          <w:bCs/>
          <w:noProof w:val="0"/>
          <w:rtl/>
        </w:rPr>
        <w:t>מצד ימין ו</w:t>
      </w:r>
      <w:r>
        <w:rPr>
          <w:rFonts w:ascii="Arial" w:hAnsi="Arial" w:hint="cs"/>
          <w:noProof w:val="0"/>
          <w:rtl/>
        </w:rPr>
        <w:t xml:space="preserve">[ב'] </w:t>
      </w:r>
      <w:r w:rsidRPr="002E2053">
        <w:rPr>
          <w:rFonts w:ascii="Arial" w:hAnsi="Arial" w:hint="cs"/>
          <w:b/>
          <w:bCs/>
          <w:noProof w:val="0"/>
          <w:rtl/>
        </w:rPr>
        <w:t>יושב מאחוריהם, באמצע... הם ברוב הזמן הם הינהנו בראש ונראו הראו שהם מעוניינים, שהם מבינים, שהם רוצים לחתום, לא היה המון המון שיח, הם פשוט שיתפו פעולה, היא שיתפה פעולה יותר נכון. כן? אבל גם התובע היה מעורב והבין, ובסופו של דבר בסופו של הפגישה גם, זה אני זוכרת בוודאות, אז גם אני הוספתי ליתר ביטחון שזאת ערבות אמיתית לכל דבר ועניין</w:t>
      </w:r>
      <w:r>
        <w:rPr>
          <w:rFonts w:ascii="Arial" w:hAnsi="Arial" w:hint="cs"/>
          <w:noProof w:val="0"/>
          <w:rtl/>
        </w:rPr>
        <w:t xml:space="preserve"> </w:t>
      </w:r>
      <w:r w:rsidRPr="002E2053">
        <w:rPr>
          <w:rFonts w:ascii="Arial" w:hAnsi="Arial" w:hint="cs"/>
          <w:b/>
          <w:bCs/>
          <w:noProof w:val="0"/>
          <w:rtl/>
        </w:rPr>
        <w:t>ו</w:t>
      </w:r>
      <w:r>
        <w:rPr>
          <w:rFonts w:ascii="Arial" w:hAnsi="Arial" w:hint="cs"/>
          <w:noProof w:val="0"/>
          <w:rtl/>
        </w:rPr>
        <w:t xml:space="preserve">[התובע] </w:t>
      </w:r>
      <w:r w:rsidRPr="002E2053">
        <w:rPr>
          <w:rFonts w:ascii="Arial" w:hAnsi="Arial" w:hint="cs"/>
          <w:b/>
          <w:bCs/>
          <w:noProof w:val="0"/>
          <w:rtl/>
        </w:rPr>
        <w:t>הינהן וחייך ובזה זה הסתיים</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היא שאלה כיצד התובעת נראתה, והשיבה (עמ' 131): "</w:t>
      </w:r>
      <w:r w:rsidRPr="004D0970">
        <w:rPr>
          <w:rFonts w:ascii="Arial" w:hAnsi="Arial" w:hint="cs"/>
          <w:b/>
          <w:bCs/>
          <w:noProof w:val="0"/>
          <w:rtl/>
        </w:rPr>
        <w:t xml:space="preserve">היא הייתה נראית טוב, גם היא, גם </w:t>
      </w:r>
      <w:r w:rsidRPr="002E2053">
        <w:rPr>
          <w:rFonts w:ascii="Arial" w:hAnsi="Arial" w:hint="cs"/>
          <w:noProof w:val="0"/>
          <w:rtl/>
        </w:rPr>
        <w:t>[התובע],</w:t>
      </w:r>
      <w:r w:rsidRPr="004D0970">
        <w:rPr>
          <w:rFonts w:ascii="Arial" w:hAnsi="Arial" w:hint="cs"/>
          <w:b/>
          <w:bCs/>
          <w:noProof w:val="0"/>
          <w:rtl/>
        </w:rPr>
        <w:t xml:space="preserve"> הם הגיעו פעמיים דרך אגב לסניף, אנשים מסתובבים מתפקדים...</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היא נשאלה מה היא הסבירה לתובעת והשיבה (עמ' 134): "</w:t>
      </w:r>
      <w:r w:rsidRPr="004D0970">
        <w:rPr>
          <w:rFonts w:ascii="Arial" w:hAnsi="Arial" w:hint="cs"/>
          <w:b/>
          <w:bCs/>
          <w:noProof w:val="0"/>
          <w:rtl/>
        </w:rPr>
        <w:t>שזה אומר שאם חברה בלאק קיוב לא תשלם את החוב, אז היא כערבה תצטרך לשלם את החוב, אני מראה את הסכום והיא חותמת ליד, אנחנו רואים שהסכום גם כתוב בספ</w:t>
      </w:r>
      <w:r>
        <w:rPr>
          <w:rFonts w:ascii="Arial" w:hAnsi="Arial" w:hint="cs"/>
          <w:b/>
          <w:bCs/>
          <w:noProof w:val="0"/>
          <w:rtl/>
        </w:rPr>
        <w:t>ַ</w:t>
      </w:r>
      <w:r w:rsidRPr="004D0970">
        <w:rPr>
          <w:rFonts w:ascii="Arial" w:hAnsi="Arial" w:hint="cs"/>
          <w:b/>
          <w:bCs/>
          <w:noProof w:val="0"/>
          <w:rtl/>
        </w:rPr>
        <w:t>רות בצורה מאוד ברורה</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גלנץ העידה (עמ' 134) שהשיחה התנהלה בעברית, והתובעת "</w:t>
      </w:r>
      <w:r w:rsidRPr="004D0970">
        <w:rPr>
          <w:rFonts w:ascii="Arial" w:hAnsi="Arial" w:hint="cs"/>
          <w:b/>
          <w:bCs/>
          <w:noProof w:val="0"/>
          <w:rtl/>
        </w:rPr>
        <w:t>שיתפה פעולה, זאת אומרת לא שהיא, לא היה המון שיח, אבל היא שיתפה והיא הבינה מה שאני אומרת כי עובדה שהיא גם חותמת במקומות הנכונים</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(עמ' 135): "</w:t>
      </w:r>
      <w:r w:rsidRPr="0017771B">
        <w:rPr>
          <w:rFonts w:ascii="Arial" w:hAnsi="Arial" w:hint="cs"/>
          <w:b/>
          <w:bCs/>
          <w:noProof w:val="0"/>
          <w:rtl/>
        </w:rPr>
        <w:t>במקרה הזה אף אחד מהם לא שאל שום שאלה, הם רק הראו לי שהם ממש מעוניינים לחתום... זאת אומרת שהיא חותמת ו</w:t>
      </w:r>
      <w:r w:rsidRPr="0017771B">
        <w:rPr>
          <w:rFonts w:ascii="Arial" w:hAnsi="Arial" w:hint="cs"/>
          <w:noProof w:val="0"/>
          <w:rtl/>
        </w:rPr>
        <w:t>[התובע]</w:t>
      </w:r>
      <w:r w:rsidRPr="0017771B">
        <w:rPr>
          <w:rFonts w:ascii="Arial" w:hAnsi="Arial" w:hint="cs"/>
          <w:b/>
          <w:bCs/>
          <w:noProof w:val="0"/>
          <w:rtl/>
        </w:rPr>
        <w:t xml:space="preserve"> מאשר את זה שהיא חותמת</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עוד הוסיפה (עמ' 136-135) שיש מקומות שהערבה צריכה למלא בעצמה: שם, טלפון, תאריך וחתימה והיא, "</w:t>
      </w:r>
      <w:r w:rsidRPr="0017771B">
        <w:rPr>
          <w:rFonts w:ascii="Arial" w:hAnsi="Arial" w:hint="cs"/>
          <w:b/>
          <w:bCs/>
          <w:noProof w:val="0"/>
          <w:rtl/>
        </w:rPr>
        <w:t xml:space="preserve">היא מילאה לבד, כן? </w:t>
      </w:r>
      <w:r w:rsidRPr="0017771B">
        <w:rPr>
          <w:rFonts w:ascii="Arial" w:hAnsi="Arial" w:hint="cs"/>
          <w:noProof w:val="0"/>
          <w:rtl/>
        </w:rPr>
        <w:t>[התובע]</w:t>
      </w:r>
      <w:r w:rsidRPr="0017771B">
        <w:rPr>
          <w:rFonts w:ascii="Arial" w:hAnsi="Arial" w:hint="cs"/>
          <w:b/>
          <w:bCs/>
          <w:noProof w:val="0"/>
          <w:rtl/>
        </w:rPr>
        <w:t xml:space="preserve"> ישב לידה, ב' יושב מאחוריה, אף אחד מהם לא עוזר לה, היא ממלא את זה לגמרי לבד בעצמה</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גם ביחס לערבות השלישית סיפר התובע (בסעיף 53) כי בכר התקשר אליו וביקש כי הוא והתובעת יגיעו לסניף לחתום "שוב" על הערבות, "</w:t>
      </w:r>
      <w:r w:rsidRPr="0086372A">
        <w:rPr>
          <w:rFonts w:ascii="Arial" w:hAnsi="Arial" w:hint="cs"/>
          <w:b/>
          <w:bCs/>
          <w:noProof w:val="0"/>
          <w:rtl/>
        </w:rPr>
        <w:t>שכן גם מסמכי כתב הערבות השנייה אינם תקינים</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על גרסה זו חזר גם ב' בתצהירו (סעיפים 19-17).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lastRenderedPageBreak/>
        <w:t xml:space="preserve">כבר הצבעתי לעיל על הבעייתיות בגרסה זו כשהיא מועלית על-ידי איש עסקים מנוסה ומשכיל כמו התובע ועל ידי ב', שהיה בעברו עובד בנק. הכיצד הם לא תוהים ולא מבררים מהו הפגם שנמצא בשתי הערבויות שכבר נמצאו, ומדוע נדרש מהתובעת לשוב ולחתום על "אותה ערבות"?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מכל-מקום, בכר הכחיש בתוקף גרסה זו (בסעיף 34.1 בתצהירו): "</w:t>
      </w:r>
      <w:r w:rsidRPr="00BC1C5D">
        <w:rPr>
          <w:rFonts w:ascii="Arial" w:hAnsi="Arial" w:hint="cs"/>
          <w:b/>
          <w:bCs/>
          <w:noProof w:val="0"/>
          <w:rtl/>
        </w:rPr>
        <w:t>טענות אלה, של [</w:t>
      </w:r>
      <w:r w:rsidRPr="0086372A">
        <w:rPr>
          <w:rFonts w:ascii="Arial" w:hAnsi="Arial" w:hint="cs"/>
          <w:noProof w:val="0"/>
          <w:rtl/>
        </w:rPr>
        <w:t>ב' והתובע</w:t>
      </w:r>
      <w:r w:rsidRPr="00BC1C5D">
        <w:rPr>
          <w:rFonts w:ascii="Arial" w:hAnsi="Arial" w:hint="cs"/>
          <w:b/>
          <w:bCs/>
          <w:noProof w:val="0"/>
          <w:rtl/>
        </w:rPr>
        <w:t>] הן שקר מוחלט. מעולם לא אמרתי לתובעים או למי מהם, כי ישנה טעות כלשהי באיזה ממסמכי הערבות או במסמכי הבנק האחרים שנחתמו על ידם ו/או שבעקבות טעות כלשהי נדרשת חתימה על ערבות נוספת (מהטעם הפשוט שלא הייתה כל טעות במסמכים הללו</w:t>
      </w:r>
      <w:r>
        <w:rPr>
          <w:rFonts w:ascii="Arial" w:hAnsi="Arial" w:hint="cs"/>
          <w:noProof w:val="0"/>
          <w:rtl/>
        </w:rPr>
        <w:t xml:space="preserve">)".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אגב, בניגוד לטענות של ב' (בסעיף 19 לתצהירו), ושל מאור (סעיף 18 לתצהירו), כי ב' לא היה במעמד החתימה על הערבות השלישית, אלא מאור, העידו גלנץ ובכר כי ב' ולא מאור הוא שהיה עם התובעים במעמד חתימה זו.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אני מעדיף בעניין זה את עדותם של גלנץ ובכר, שהייתה אמינה וקוהרנטית יותר, על עדויותיהם של ב' ושל מאור, שהיו ברובן בלתי אמינות ובלתי סבירות כפי שהצבעתי לעיל.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התובע סיפר כי מעמד החתימה ארך "</w:t>
      </w:r>
      <w:r w:rsidRPr="00A05BE8">
        <w:rPr>
          <w:rFonts w:ascii="Arial" w:hAnsi="Arial" w:hint="cs"/>
          <w:b/>
          <w:bCs/>
          <w:noProof w:val="0"/>
          <w:rtl/>
        </w:rPr>
        <w:t>כ-2 דקות בלבד</w:t>
      </w:r>
      <w:r>
        <w:rPr>
          <w:rFonts w:ascii="Arial" w:hAnsi="Arial" w:hint="cs"/>
          <w:noProof w:val="0"/>
          <w:rtl/>
        </w:rPr>
        <w:t xml:space="preserve">" (סעיף 55 לתצהירו) ובנו הנוסף, מ', אף טרח ובדק באמצעות מכשיר הנייד של התובעת ותוך שהוא נעזר באפליקציה "גוגל מפות" ומצא ששהות התובעים בסניף ביום 7.6.2018 ארכה מספר דקות בלבד.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אחסוך את ההתדיינות בדבר קבילותה של בדיקה זו. גלנץ העריכה את הזמן שבו התובעים ישבו בסניף בכעשר דקות (עמ' 129), משום שהם לא שאלו שאלות נוספות מעבר להסברים שניתנו ולכן לא היה צורך במתן הסברים נוספים (עמ' 122).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(אודות צמצום חובת הגילוי כאשר הערב לא מתעניין במצב הלווה, ראו: אורי סירקין, עו"ד, </w:t>
      </w:r>
      <w:r w:rsidRPr="006866CD">
        <w:rPr>
          <w:rFonts w:ascii="Arial" w:hAnsi="Arial" w:hint="cs"/>
          <w:b/>
          <w:bCs/>
          <w:noProof w:val="0"/>
          <w:rtl/>
        </w:rPr>
        <w:t>דיני בנקאות</w:t>
      </w:r>
      <w:r>
        <w:rPr>
          <w:rFonts w:ascii="Arial" w:hAnsi="Arial" w:hint="cs"/>
          <w:noProof w:val="0"/>
          <w:rtl/>
        </w:rPr>
        <w:t xml:space="preserve">, עמ' 269-267).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מסקנתי ביחס לערבות השלישית היא, שהתובעים ידעו היטב שמטרת הגעתם לסניף הבנק הייתה כדי שהתובעת תחתום על ערבות להבטחת חובותיה של בלאק קיוב; כי התובעת רצתה והסכימה לחתום על ערבות זו כדי לסייע לעסקיו של בנה והיא עשתה זאת לבקשתו; כי סכום הערבות היה גלוי וברור לתובעים; כי גלנץ הסבירה לתובעת את הפרטים העיקריים הקשורים לערבותה; כי ב' התלווה אל הוריו במעמד החתימה והם יכלו להיעזר בו כדי להבין פרטים שלא הבינו, אם רצו בכך; וכי גלנץ דיברה עם התובעים, ועם התובעת בנפרד, כדי לקבל את אישורה לכך שהערבות שנחתמה תבטיח גם את מתן האשראי החדש בסך 800 אלף ₪ והתובעת אישרה זאת.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המסקנה הנובעת מכך היא, שלא נמצאה כל הצדקה לביטולה של ערבות זו. </w:t>
      </w:r>
    </w:p>
    <w:p w:rsidR="00FB4A98" w:rsidRDefault="00FB4A98" w:rsidP="00FB4A98">
      <w:pPr>
        <w:spacing w:line="360" w:lineRule="auto"/>
        <w:jc w:val="both"/>
        <w:rPr>
          <w:rFonts w:ascii="Arial" w:hAnsi="Arial"/>
          <w:noProof w:val="0"/>
          <w:rtl/>
        </w:rPr>
      </w:pPr>
    </w:p>
    <w:p w:rsidR="00FB4A98" w:rsidRPr="00075359" w:rsidRDefault="00FB4A98" w:rsidP="00FB4A98">
      <w:pPr>
        <w:spacing w:line="360" w:lineRule="auto"/>
        <w:jc w:val="both"/>
        <w:rPr>
          <w:rFonts w:ascii="Arial" w:hAnsi="Arial"/>
          <w:b/>
          <w:bCs/>
          <w:noProof w:val="0"/>
          <w:u w:val="single"/>
        </w:rPr>
      </w:pPr>
      <w:r w:rsidRPr="00075359">
        <w:rPr>
          <w:rFonts w:ascii="Arial" w:hAnsi="Arial" w:hint="cs"/>
          <w:b/>
          <w:bCs/>
          <w:noProof w:val="0"/>
          <w:u w:val="single"/>
          <w:rtl/>
        </w:rPr>
        <w:lastRenderedPageBreak/>
        <w:t xml:space="preserve">התובע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אין לתובע מעמד בתביעה שהוגשה.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התובעת היא החתומה על כתבי הערבות וחשבונה הוא שחויב במסגרת מימוש הערבויות.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היותו של התובע מיופה כוח בחשבונה של התובעת אינו מקנה לו זכות תביעה.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לא הוכח, ואף לא נעשה ניסיון להוכיח, שהתובע שותף בחשבון, או שהכספים שבחשבון הם גם שלו, כפי שנטען.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די בכך כדי לדחות את תביעתו.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למעלה מכך, וכפי שהקדמתי, אם התובעת הייתה בעת הגשת התביעה במצב דמננטי סופי, לא ברור כיצד תביעה זו הוגשה מטעמה, כשלא מונה לה אפוטרופוס.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הטענה שנטענה על-ידי התובעים, לפיה התובע הוא "האפוטרופוס הטבעי" של התובעת, אין לה כל סימוכין בחוק, שכן חוק ה</w:t>
      </w:r>
      <w:r w:rsidRPr="00075359">
        <w:rPr>
          <w:rFonts w:ascii="Arial" w:hAnsi="Arial" w:hint="cs"/>
          <w:b/>
          <w:bCs/>
          <w:noProof w:val="0"/>
          <w:rtl/>
        </w:rPr>
        <w:t xml:space="preserve">כשרות והאפוטרופסות </w:t>
      </w:r>
      <w:r>
        <w:rPr>
          <w:rFonts w:ascii="Arial" w:hAnsi="Arial" w:hint="cs"/>
          <w:noProof w:val="0"/>
          <w:rtl/>
        </w:rPr>
        <w:t xml:space="preserve">מעניק מעמד של "אפוטרופוס טבעי" רק להוריהם של קטינים (סעיף 14 לחוק).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אמנם, ייתכנו מצבים שבהם אדם מתפקד בפועל כאפוטרופוס עבור אדם אחר מבלי שמונה לכך על-ידי בית המשפט אך במקרים כאלה קובע החוק, כי חובותיו ואחריותו של המיטיב כלפי החסוי יהיו לפי ההוראות הנוגעות לאפוטרופוס ממונה, לרבות בנושא קבלת אישור בית המשפט לפעולות הדרושות אישור (סעיף 67 לחוק, וראו משה בן דוד, </w:t>
      </w:r>
      <w:r w:rsidRPr="001F7A4F">
        <w:rPr>
          <w:rFonts w:ascii="Arial" w:hAnsi="Arial" w:hint="cs"/>
          <w:b/>
          <w:bCs/>
          <w:noProof w:val="0"/>
          <w:rtl/>
        </w:rPr>
        <w:t>אפוטרופסות הלכה ומעשה</w:t>
      </w:r>
      <w:r>
        <w:rPr>
          <w:rFonts w:ascii="Arial" w:hAnsi="Arial" w:hint="cs"/>
          <w:noProof w:val="0"/>
          <w:rtl/>
        </w:rPr>
        <w:t xml:space="preserve"> (2015), עמ' 28).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לא התבקש, וכמובן לא הוצג, שום אישור מבית המשפט, לכל הפעולות שהתובע עשה ועושה בשמה של התובעת, כולל הגשת תביעה זו.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מכל-מקום, מאחר שהנתבע לא עמד על סילוק התביעה על הסף מטעם זה, ולאחר שכל הראיות נפרשו לפניי בהרחבה, דנתי בתביעה לגופה. </w:t>
      </w:r>
    </w:p>
    <w:p w:rsidR="00FB4A98" w:rsidRDefault="00FB4A98" w:rsidP="00FB4A98">
      <w:pPr>
        <w:spacing w:line="360" w:lineRule="auto"/>
        <w:jc w:val="both"/>
        <w:rPr>
          <w:rFonts w:ascii="Arial" w:hAnsi="Arial"/>
          <w:noProof w:val="0"/>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p>
    <w:p w:rsidR="00FB4A98" w:rsidRDefault="00FB4A98" w:rsidP="00FB4A98">
      <w:pPr>
        <w:spacing w:line="360" w:lineRule="auto"/>
        <w:jc w:val="both"/>
        <w:rPr>
          <w:rFonts w:ascii="Arial" w:hAnsi="Arial"/>
          <w:b/>
          <w:bCs/>
          <w:noProof w:val="0"/>
          <w:u w:val="single"/>
          <w:rtl/>
        </w:rPr>
      </w:pPr>
      <w:r w:rsidRPr="001F7A4F">
        <w:rPr>
          <w:rFonts w:ascii="Arial" w:hAnsi="Arial" w:hint="cs"/>
          <w:b/>
          <w:bCs/>
          <w:noProof w:val="0"/>
          <w:u w:val="single"/>
          <w:rtl/>
        </w:rPr>
        <w:lastRenderedPageBreak/>
        <w:t>סיכום ותוצאה</w:t>
      </w:r>
    </w:p>
    <w:p w:rsidR="00FB4A98" w:rsidRDefault="00FB4A98" w:rsidP="00FB4A98">
      <w:pPr>
        <w:spacing w:line="360" w:lineRule="auto"/>
        <w:jc w:val="both"/>
        <w:rPr>
          <w:rFonts w:ascii="Arial" w:hAnsi="Arial"/>
          <w:b/>
          <w:bCs/>
          <w:noProof w:val="0"/>
          <w:u w:val="single"/>
          <w:rtl/>
        </w:rPr>
      </w:pPr>
    </w:p>
    <w:p w:rsidR="00FB4A98" w:rsidRPr="001F7A4F" w:rsidRDefault="00FB4A98" w:rsidP="00FB4A98">
      <w:pPr>
        <w:spacing w:line="360" w:lineRule="auto"/>
        <w:jc w:val="both"/>
        <w:rPr>
          <w:rFonts w:ascii="Arial" w:hAnsi="Arial"/>
          <w:b/>
          <w:bCs/>
          <w:noProof w:val="0"/>
          <w:u w:val="single"/>
        </w:rPr>
      </w:pPr>
      <w:r w:rsidRPr="001F7A4F">
        <w:rPr>
          <w:rFonts w:ascii="Arial" w:hAnsi="Arial" w:hint="cs"/>
          <w:b/>
          <w:bCs/>
          <w:noProof w:val="0"/>
          <w:u w:val="single"/>
          <w:rtl/>
        </w:rPr>
        <w:t xml:space="preserve">סיכום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א- </w:t>
      </w:r>
      <w:r w:rsidRPr="002428F7">
        <w:rPr>
          <w:rFonts w:ascii="Arial" w:hAnsi="Arial" w:hint="cs"/>
          <w:noProof w:val="0"/>
          <w:rtl/>
        </w:rPr>
        <w:t>התובעת ח</w:t>
      </w:r>
      <w:r>
        <w:rPr>
          <w:rFonts w:ascii="Arial" w:hAnsi="Arial" w:hint="cs"/>
          <w:noProof w:val="0"/>
          <w:rtl/>
        </w:rPr>
        <w:t>ת</w:t>
      </w:r>
      <w:r w:rsidRPr="002428F7">
        <w:rPr>
          <w:rFonts w:ascii="Arial" w:hAnsi="Arial" w:hint="cs"/>
          <w:noProof w:val="0"/>
          <w:rtl/>
        </w:rPr>
        <w:t xml:space="preserve">מה על שלושה כתבי ערבויות להבטחת חובותיהן של שתי חבַרות הקשורות </w:t>
      </w:r>
      <w:r>
        <w:rPr>
          <w:rFonts w:ascii="Arial" w:hAnsi="Arial" w:hint="cs"/>
          <w:noProof w:val="0"/>
          <w:rtl/>
        </w:rPr>
        <w:t xml:space="preserve"> </w:t>
      </w:r>
    </w:p>
    <w:p w:rsidR="00FB4A98" w:rsidRPr="002428F7" w:rsidRDefault="00FB4A98" w:rsidP="00FB4A98">
      <w:pPr>
        <w:pStyle w:val="af1"/>
        <w:spacing w:line="360" w:lineRule="auto"/>
        <w:ind w:left="369" w:firstLine="283"/>
        <w:jc w:val="both"/>
        <w:rPr>
          <w:rFonts w:ascii="Arial" w:hAnsi="Arial"/>
          <w:noProof w:val="0"/>
        </w:rPr>
      </w:pPr>
      <w:r w:rsidRPr="002428F7">
        <w:rPr>
          <w:rFonts w:ascii="Arial" w:hAnsi="Arial" w:hint="cs"/>
          <w:noProof w:val="0"/>
          <w:rtl/>
        </w:rPr>
        <w:t xml:space="preserve">לבנה. </w:t>
      </w:r>
    </w:p>
    <w:p w:rsidR="00FB4A98" w:rsidRDefault="00FB4A98" w:rsidP="00FB4A98">
      <w:pPr>
        <w:spacing w:line="360" w:lineRule="auto"/>
        <w:ind w:left="652"/>
        <w:jc w:val="both"/>
        <w:rPr>
          <w:rFonts w:ascii="Arial" w:hAnsi="Arial"/>
          <w:noProof w:val="0"/>
          <w:rtl/>
        </w:rPr>
      </w:pPr>
      <w:r w:rsidRPr="002428F7">
        <w:rPr>
          <w:rFonts w:ascii="Arial" w:hAnsi="Arial" w:hint="cs"/>
          <w:noProof w:val="0"/>
          <w:rtl/>
        </w:rPr>
        <w:t xml:space="preserve">התובעים </w:t>
      </w:r>
      <w:r>
        <w:rPr>
          <w:rFonts w:ascii="Arial" w:hAnsi="Arial" w:hint="cs"/>
          <w:noProof w:val="0"/>
          <w:rtl/>
        </w:rPr>
        <w:t>לא טענו "לא נעשה דבר" ביחס לעצם החתימה על הערבויות, אלא בקשר לתוכנן.</w:t>
      </w:r>
      <w:r>
        <w:rPr>
          <w:rFonts w:ascii="Arial" w:hAnsi="Arial"/>
          <w:noProof w:val="0"/>
          <w:rtl/>
        </w:rPr>
        <w:br/>
      </w:r>
      <w:r>
        <w:rPr>
          <w:rFonts w:ascii="Arial" w:hAnsi="Arial" w:hint="cs"/>
          <w:noProof w:val="0"/>
          <w:rtl/>
        </w:rPr>
        <w:t>די בכך כדי לדחות את התביעה ביחס לביטול מוחלט של הערבויות.</w:t>
      </w:r>
    </w:p>
    <w:p w:rsidR="00FB4A98" w:rsidRDefault="00FB4A98" w:rsidP="00FB4A98">
      <w:pPr>
        <w:spacing w:line="360" w:lineRule="auto"/>
        <w:ind w:left="369"/>
        <w:jc w:val="both"/>
        <w:rPr>
          <w:rFonts w:ascii="Arial" w:hAnsi="Arial"/>
          <w:noProof w:val="0"/>
          <w:rtl/>
        </w:rPr>
      </w:pPr>
      <w:r>
        <w:rPr>
          <w:rFonts w:ascii="Arial" w:hAnsi="Arial" w:hint="cs"/>
          <w:noProof w:val="0"/>
          <w:rtl/>
        </w:rPr>
        <w:t xml:space="preserve">ב-  הוכח שהתובעת הייתה במצב מתמשך של ירידה קוגניטיבית, החל משלהי שנת 2016, אך    </w:t>
      </w:r>
    </w:p>
    <w:p w:rsidR="00FB4A98" w:rsidRDefault="00FB4A98" w:rsidP="00FB4A98">
      <w:pPr>
        <w:spacing w:line="360" w:lineRule="auto"/>
        <w:ind w:left="720"/>
        <w:jc w:val="both"/>
        <w:rPr>
          <w:rFonts w:ascii="Arial" w:hAnsi="Arial"/>
          <w:noProof w:val="0"/>
          <w:rtl/>
        </w:rPr>
      </w:pPr>
      <w:r>
        <w:rPr>
          <w:rFonts w:ascii="Arial" w:hAnsi="Arial" w:hint="cs"/>
          <w:noProof w:val="0"/>
          <w:rtl/>
        </w:rPr>
        <w:t xml:space="preserve">לא הוכח שמצבה הקוגניטיבי בעת חתימותיה על כתבי הערבויות היה כזה השולל את יכולתה להבין את משמעות חתימותיה.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ג- </w:t>
      </w:r>
      <w:r>
        <w:rPr>
          <w:rFonts w:ascii="Arial" w:hAnsi="Arial"/>
          <w:noProof w:val="0"/>
          <w:rtl/>
        </w:rPr>
        <w:tab/>
      </w:r>
      <w:r>
        <w:rPr>
          <w:rFonts w:ascii="Arial" w:hAnsi="Arial" w:hint="cs"/>
          <w:noProof w:val="0"/>
          <w:rtl/>
        </w:rPr>
        <w:t xml:space="preserve">מהעדויות ומהראיות עולה שהתובעת הבינה וידעה שהיא חותמת על ערבויות לחבַרות הקשורות לבנה ב', והיא עשתה זאת בהסכמה מלאה, לבקשתו של בנה ב' ולמען הצלחת עסקיו. </w:t>
      </w:r>
    </w:p>
    <w:p w:rsidR="00FB4A98" w:rsidRDefault="00FB4A98" w:rsidP="00FB4A98">
      <w:pPr>
        <w:spacing w:line="360" w:lineRule="auto"/>
        <w:ind w:left="369"/>
        <w:jc w:val="both"/>
        <w:rPr>
          <w:rFonts w:ascii="Arial" w:hAnsi="Arial"/>
          <w:noProof w:val="0"/>
          <w:rtl/>
        </w:rPr>
      </w:pPr>
      <w:r>
        <w:rPr>
          <w:rFonts w:ascii="Arial" w:hAnsi="Arial" w:hint="cs"/>
          <w:noProof w:val="0"/>
          <w:rtl/>
        </w:rPr>
        <w:t xml:space="preserve">ד- </w:t>
      </w:r>
      <w:r>
        <w:rPr>
          <w:rFonts w:ascii="Arial" w:hAnsi="Arial" w:hint="cs"/>
          <w:noProof w:val="0"/>
          <w:rtl/>
        </w:rPr>
        <w:tab/>
        <w:t xml:space="preserve">התובעת גם ראתה מהם סכומי הערבויות הנקובים בכתבי הערבויות.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ה- </w:t>
      </w:r>
      <w:r>
        <w:rPr>
          <w:rFonts w:ascii="Arial" w:hAnsi="Arial" w:hint="cs"/>
          <w:noProof w:val="0"/>
          <w:rtl/>
        </w:rPr>
        <w:tab/>
        <w:t xml:space="preserve">באשר לשאר פרטי מסמכי הערבויות, התובעת סמכה על בעלה, התובע, שליווה אותה בכל מעמדי החתימות, וכן על בנה ב', ששוחח איתה קודם לחתימותיה ונכח במעמד חתימתה על הערבות השלישית שמומשה (העיקרית מבחינת גובה הסכום). </w:t>
      </w:r>
      <w:r>
        <w:rPr>
          <w:rFonts w:ascii="Arial" w:hAnsi="Arial"/>
          <w:noProof w:val="0"/>
          <w:rtl/>
        </w:rPr>
        <w:tab/>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ו- </w:t>
      </w:r>
      <w:r>
        <w:rPr>
          <w:rFonts w:ascii="Arial" w:hAnsi="Arial" w:hint="cs"/>
          <w:noProof w:val="0"/>
          <w:rtl/>
        </w:rPr>
        <w:tab/>
        <w:t xml:space="preserve">גם התובע וגם התובעת הבינו ודיברו עברית במידה שאפשרה להם להבין את משמעות החתימה על כתבי הערבות.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ז- </w:t>
      </w:r>
      <w:r>
        <w:rPr>
          <w:rFonts w:ascii="Arial" w:hAnsi="Arial" w:hint="cs"/>
          <w:noProof w:val="0"/>
          <w:rtl/>
        </w:rPr>
        <w:tab/>
        <w:t xml:space="preserve">פרטי הערבות השלישית הוסברו לה על-ידי עובדת הבנק, שהייתה אחראית על ניהול חשבון התובעת ועל ניהול עסקי החבַרות, ששוחחה בעניין זה ישירות גם עם התובעת והתרשמה שהיא מבינה היטב את כל שהוסבר לה.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ח- </w:t>
      </w:r>
      <w:r>
        <w:rPr>
          <w:rFonts w:ascii="Arial" w:hAnsi="Arial" w:hint="cs"/>
          <w:noProof w:val="0"/>
          <w:rtl/>
        </w:rPr>
        <w:tab/>
        <w:t xml:space="preserve">עובדת הבנק גם דאגה לקבל את אישורה הישיר של התובעת לכך שהערבות תשמש כבטוחה גם לאשראי שניתן בעקבות אותה ערבות.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ט- </w:t>
      </w:r>
      <w:r>
        <w:rPr>
          <w:rFonts w:ascii="Arial" w:hAnsi="Arial" w:hint="cs"/>
          <w:noProof w:val="0"/>
          <w:rtl/>
        </w:rPr>
        <w:tab/>
        <w:t xml:space="preserve">התובעים הם אנשים משכילים ואמידים והתובע היה איש עסקים, בעלים של חברת יצוא ויבוא יהלומים שהעסיקה עשרות עובדים.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י- </w:t>
      </w:r>
      <w:r>
        <w:rPr>
          <w:rFonts w:ascii="Arial" w:hAnsi="Arial" w:hint="cs"/>
          <w:noProof w:val="0"/>
          <w:rtl/>
        </w:rPr>
        <w:tab/>
        <w:t xml:space="preserve">בנם ב' היה בעבר גם עובד בנק, ומתוקף כך היה מודע לנוהלי הבנק.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יא- </w:t>
      </w:r>
      <w:r>
        <w:rPr>
          <w:rFonts w:ascii="Arial" w:hAnsi="Arial" w:hint="cs"/>
          <w:noProof w:val="0"/>
          <w:rtl/>
        </w:rPr>
        <w:tab/>
        <w:t xml:space="preserve">מצבן של החַברות המדוברות היה איתן, לא היו להן כמעט חריגות ממסגרות האשראי שניתנו להן, ואם היו חריגות הן דאגו מיד להסדירן. גם השיקים של הלקוחות שהופקדו על ידם נפרעו ברובם הגדול. החבַרות גם פרעו את כל ההלוואות שניתנו להן, מכאן, שמצבן לא חייב את הנתבע בגילוי מיוחד לתובעת קודם חתימתה על כתבי הערבויות, מה גם שחזקה על בנם ב' שעדכן את התובעים בדבר המצב כלכלי והעסקי של החַברות.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lastRenderedPageBreak/>
        <w:t xml:space="preserve">יב- </w:t>
      </w:r>
      <w:r>
        <w:rPr>
          <w:rFonts w:ascii="Arial" w:hAnsi="Arial" w:hint="cs"/>
          <w:noProof w:val="0"/>
          <w:rtl/>
        </w:rPr>
        <w:tab/>
        <w:t xml:space="preserve">מתוך הערבויות שנחתמו מומשה רק הערבות השלישית שניתנה להבטחת חובות בלאק קיוב (על סך 4.5 מיליון ₪) וחלק מהערבות השנייה שניתן להבטחת חובות החברה המרכזית (על סך 0.5 מיליון ₪). </w:t>
      </w:r>
    </w:p>
    <w:p w:rsidR="00FB4A98" w:rsidRDefault="00FB4A98" w:rsidP="00FB4A98">
      <w:pPr>
        <w:spacing w:line="360" w:lineRule="auto"/>
        <w:ind w:left="714" w:hanging="345"/>
        <w:jc w:val="both"/>
        <w:rPr>
          <w:rFonts w:ascii="Arial" w:hAnsi="Arial"/>
          <w:noProof w:val="0"/>
          <w:rtl/>
        </w:rPr>
      </w:pPr>
      <w:r>
        <w:rPr>
          <w:rFonts w:ascii="Arial" w:hAnsi="Arial"/>
          <w:noProof w:val="0"/>
          <w:rtl/>
        </w:rPr>
        <w:tab/>
      </w:r>
      <w:r>
        <w:rPr>
          <w:rFonts w:ascii="Arial" w:hAnsi="Arial" w:hint="cs"/>
          <w:noProof w:val="0"/>
          <w:rtl/>
        </w:rPr>
        <w:t xml:space="preserve">ביחס לערבות השלישית, לא נמצא כל פגם בהליכי החתימה עליה ולא נמצאה כל הצדקה לביטולה. </w:t>
      </w:r>
    </w:p>
    <w:p w:rsidR="00FB4A98" w:rsidRDefault="00FB4A98" w:rsidP="00FB4A98">
      <w:pPr>
        <w:spacing w:line="360" w:lineRule="auto"/>
        <w:ind w:left="714" w:hanging="345"/>
        <w:jc w:val="both"/>
        <w:rPr>
          <w:rFonts w:ascii="Arial" w:hAnsi="Arial"/>
          <w:noProof w:val="0"/>
          <w:rtl/>
        </w:rPr>
      </w:pPr>
      <w:r>
        <w:rPr>
          <w:rFonts w:ascii="Arial" w:hAnsi="Arial"/>
          <w:noProof w:val="0"/>
          <w:rtl/>
        </w:rPr>
        <w:tab/>
      </w:r>
      <w:r>
        <w:rPr>
          <w:rFonts w:ascii="Arial" w:hAnsi="Arial" w:hint="cs"/>
          <w:noProof w:val="0"/>
          <w:rtl/>
        </w:rPr>
        <w:t xml:space="preserve">ביחס לחלק הערבות השנייה המתייחס לחובות החברה המרכזית, מסקנתי היא שלא ניתן לתובעת הסבר נאות שיעמיד אותה על כך שהוספה חייבת נוספת לערבותה, מעבר לחייבת, שלה ניתנה ערבותה השנייה, ולכן דין ערבות זו להתבטל.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יג- </w:t>
      </w:r>
      <w:r>
        <w:rPr>
          <w:rFonts w:ascii="Arial" w:hAnsi="Arial" w:hint="cs"/>
          <w:noProof w:val="0"/>
          <w:rtl/>
        </w:rPr>
        <w:tab/>
        <w:t xml:space="preserve">דין תביעתו של התובע להידחות גם משום שאין לו כל מעמד בתביעה להשבת הכספים שהיו בחשבון התובעת שנטל הנתבע במסגרת מימוש ערבויותיה. </w:t>
      </w:r>
    </w:p>
    <w:p w:rsidR="00FB4A98" w:rsidRDefault="00FB4A98" w:rsidP="00FB4A98">
      <w:pPr>
        <w:spacing w:line="360" w:lineRule="auto"/>
        <w:ind w:left="714" w:hanging="345"/>
        <w:jc w:val="both"/>
        <w:rPr>
          <w:rFonts w:ascii="Arial" w:hAnsi="Arial"/>
          <w:noProof w:val="0"/>
          <w:rtl/>
        </w:rPr>
      </w:pPr>
    </w:p>
    <w:p w:rsidR="00FB4A98" w:rsidRPr="00D518EB" w:rsidRDefault="00FB4A98" w:rsidP="00FB4A98">
      <w:pPr>
        <w:spacing w:line="360" w:lineRule="auto"/>
        <w:ind w:left="714" w:hanging="345"/>
        <w:jc w:val="both"/>
        <w:rPr>
          <w:rFonts w:ascii="Arial" w:hAnsi="Arial"/>
          <w:b/>
          <w:bCs/>
          <w:noProof w:val="0"/>
          <w:u w:val="single"/>
          <w:rtl/>
        </w:rPr>
      </w:pPr>
      <w:r w:rsidRPr="00D518EB">
        <w:rPr>
          <w:rFonts w:ascii="Arial" w:hAnsi="Arial" w:hint="cs"/>
          <w:b/>
          <w:bCs/>
          <w:noProof w:val="0"/>
          <w:u w:val="single"/>
          <w:rtl/>
        </w:rPr>
        <w:t xml:space="preserve">תוצאה </w:t>
      </w:r>
    </w:p>
    <w:p w:rsidR="00FB4A98" w:rsidRDefault="00FB4A98" w:rsidP="00FB4A98">
      <w:pPr>
        <w:spacing w:line="360" w:lineRule="auto"/>
        <w:ind w:left="714" w:hanging="345"/>
        <w:jc w:val="both"/>
        <w:rPr>
          <w:rFonts w:ascii="Arial" w:hAnsi="Arial"/>
          <w:noProof w:val="0"/>
          <w:rtl/>
        </w:rPr>
      </w:pPr>
      <w:r>
        <w:rPr>
          <w:rFonts w:ascii="Arial" w:hAnsi="Arial" w:hint="cs"/>
          <w:noProof w:val="0"/>
          <w:rtl/>
        </w:rPr>
        <w:t xml:space="preserve"> </w:t>
      </w: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לאור כל האמור לעיל ובהתייחס לסעדים המבוקשים בסעיף 142 לכתב התביעה, אני מחליט: </w:t>
      </w:r>
    </w:p>
    <w:p w:rsidR="00FB4A98" w:rsidRDefault="00FB4A98" w:rsidP="00FB4A98">
      <w:pPr>
        <w:pStyle w:val="af1"/>
        <w:numPr>
          <w:ilvl w:val="1"/>
          <w:numId w:val="1"/>
        </w:numPr>
        <w:spacing w:line="360" w:lineRule="auto"/>
        <w:ind w:left="652" w:hanging="283"/>
        <w:jc w:val="both"/>
        <w:rPr>
          <w:rFonts w:ascii="Arial" w:hAnsi="Arial"/>
          <w:noProof w:val="0"/>
        </w:rPr>
      </w:pPr>
      <w:r>
        <w:rPr>
          <w:rFonts w:ascii="Arial" w:hAnsi="Arial" w:hint="cs"/>
          <w:noProof w:val="0"/>
          <w:rtl/>
        </w:rPr>
        <w:t xml:space="preserve">התביעה לביטול כתב הערבות הראשונה וכתבי העירבון והקיזוז הקשורים אליה נדחית, משום שערבות זו כלל לא מומשה ומשום שלא נמצאה הצדקה לביטולם; </w:t>
      </w:r>
    </w:p>
    <w:p w:rsidR="00FB4A98" w:rsidRDefault="00FB4A98" w:rsidP="00FB4A98">
      <w:pPr>
        <w:pStyle w:val="af1"/>
        <w:numPr>
          <w:ilvl w:val="1"/>
          <w:numId w:val="1"/>
        </w:numPr>
        <w:spacing w:line="360" w:lineRule="auto"/>
        <w:ind w:left="652" w:hanging="283"/>
        <w:jc w:val="both"/>
        <w:rPr>
          <w:rFonts w:ascii="Arial" w:hAnsi="Arial"/>
          <w:noProof w:val="0"/>
        </w:rPr>
      </w:pPr>
      <w:r>
        <w:rPr>
          <w:rFonts w:ascii="Arial" w:hAnsi="Arial" w:hint="cs"/>
          <w:noProof w:val="0"/>
          <w:rtl/>
        </w:rPr>
        <w:t xml:space="preserve">התביעה לביטול כתב הערבות השנייה וכתבי העירבון והקיזוז הקשורים אליה נדחית ביחס לחלק הקשור לחובות </w:t>
      </w:r>
      <w:r w:rsidRPr="00D50FED">
        <w:rPr>
          <w:rFonts w:ascii="Arial" w:hAnsi="Arial" w:hint="cs"/>
          <w:noProof w:val="0"/>
          <w:rtl/>
        </w:rPr>
        <w:t>בלאק קיוב</w:t>
      </w:r>
      <w:r>
        <w:rPr>
          <w:rFonts w:ascii="Arial" w:hAnsi="Arial" w:hint="cs"/>
          <w:noProof w:val="0"/>
          <w:rtl/>
        </w:rPr>
        <w:t xml:space="preserve">, משום שערבות זו כלל לא מומשה, ומשום שלא נמצאה הצדקה לביטולם; </w:t>
      </w:r>
    </w:p>
    <w:p w:rsidR="00FB4A98" w:rsidRDefault="00FB4A98" w:rsidP="00FB4A98">
      <w:pPr>
        <w:pStyle w:val="af1"/>
        <w:numPr>
          <w:ilvl w:val="1"/>
          <w:numId w:val="1"/>
        </w:numPr>
        <w:spacing w:line="360" w:lineRule="auto"/>
        <w:ind w:left="652" w:hanging="283"/>
        <w:jc w:val="both"/>
        <w:rPr>
          <w:rFonts w:ascii="Arial" w:hAnsi="Arial"/>
          <w:noProof w:val="0"/>
        </w:rPr>
      </w:pPr>
      <w:r>
        <w:rPr>
          <w:rFonts w:ascii="Arial" w:hAnsi="Arial" w:hint="cs"/>
          <w:noProof w:val="0"/>
          <w:rtl/>
        </w:rPr>
        <w:t xml:space="preserve">התביעה לביטול כתב הערבות השנייה וכתבי העירבון והקיזוז הקשורים עליה, ביחס לחלק הקשור לחובות </w:t>
      </w:r>
      <w:r w:rsidRPr="00D50FED">
        <w:rPr>
          <w:rFonts w:ascii="Arial" w:hAnsi="Arial" w:hint="cs"/>
          <w:noProof w:val="0"/>
          <w:rtl/>
        </w:rPr>
        <w:t>החברה המרכזית</w:t>
      </w:r>
      <w:r>
        <w:rPr>
          <w:rFonts w:ascii="Arial" w:hAnsi="Arial" w:hint="cs"/>
          <w:noProof w:val="0"/>
          <w:rtl/>
        </w:rPr>
        <w:t xml:space="preserve">, מתקבלת; </w:t>
      </w:r>
    </w:p>
    <w:p w:rsidR="00FB4A98" w:rsidRDefault="00FB4A98" w:rsidP="00FB4A98">
      <w:pPr>
        <w:pStyle w:val="af1"/>
        <w:numPr>
          <w:ilvl w:val="1"/>
          <w:numId w:val="1"/>
        </w:numPr>
        <w:spacing w:line="360" w:lineRule="auto"/>
        <w:ind w:left="652" w:hanging="283"/>
        <w:jc w:val="both"/>
        <w:rPr>
          <w:rFonts w:ascii="Arial" w:hAnsi="Arial"/>
          <w:noProof w:val="0"/>
          <w:rtl/>
        </w:rPr>
      </w:pPr>
      <w:r>
        <w:rPr>
          <w:rFonts w:ascii="Arial" w:hAnsi="Arial" w:hint="cs"/>
          <w:noProof w:val="0"/>
          <w:rtl/>
        </w:rPr>
        <w:t>התביעה לביטול כתב הערבות השלישית וכתבי העירבון והקיזוז הקשורים אליה נדחית, משום שלא נמצאה הצדקה לביטולם;</w:t>
      </w:r>
    </w:p>
    <w:p w:rsidR="00FB4A98" w:rsidRPr="002428F7" w:rsidRDefault="00FB4A98" w:rsidP="00FB4A98">
      <w:pPr>
        <w:spacing w:line="360" w:lineRule="auto"/>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לאור כל האמור לעיל, ובהתייחס לסעדים המבוקשים בסעיף 144 לכתב התביעה, אני מחליט: </w:t>
      </w:r>
    </w:p>
    <w:p w:rsidR="00FB4A98" w:rsidRDefault="00FB4A98" w:rsidP="00FB4A98">
      <w:pPr>
        <w:pStyle w:val="af1"/>
        <w:numPr>
          <w:ilvl w:val="1"/>
          <w:numId w:val="1"/>
        </w:numPr>
        <w:spacing w:line="360" w:lineRule="auto"/>
        <w:ind w:left="652" w:hanging="283"/>
        <w:jc w:val="both"/>
        <w:rPr>
          <w:rFonts w:ascii="Arial" w:hAnsi="Arial"/>
          <w:noProof w:val="0"/>
        </w:rPr>
      </w:pPr>
      <w:r>
        <w:rPr>
          <w:rFonts w:ascii="Arial" w:hAnsi="Arial" w:hint="cs"/>
          <w:noProof w:val="0"/>
          <w:rtl/>
        </w:rPr>
        <w:t xml:space="preserve">התביעה להשבת הכספים שהבנק נטל מחשבון התובעת ביום 12.7.18 וביום 16.7.18 לכיסוי יתרות החוב של בלאק קיוב (4.5 מיליון ₪ קרן) </w:t>
      </w:r>
      <w:r>
        <w:rPr>
          <w:rFonts w:ascii="Arial" w:hAnsi="Arial"/>
          <w:noProof w:val="0"/>
          <w:rtl/>
        </w:rPr>
        <w:t>–</w:t>
      </w:r>
      <w:r>
        <w:rPr>
          <w:rFonts w:ascii="Arial" w:hAnsi="Arial" w:hint="cs"/>
          <w:noProof w:val="0"/>
          <w:rtl/>
        </w:rPr>
        <w:t xml:space="preserve"> נדחית; </w:t>
      </w:r>
    </w:p>
    <w:p w:rsidR="00FB4A98" w:rsidRDefault="00FB4A98" w:rsidP="00FB4A98">
      <w:pPr>
        <w:pStyle w:val="af1"/>
        <w:numPr>
          <w:ilvl w:val="1"/>
          <w:numId w:val="1"/>
        </w:numPr>
        <w:spacing w:line="360" w:lineRule="auto"/>
        <w:ind w:left="652" w:hanging="283"/>
        <w:jc w:val="both"/>
        <w:rPr>
          <w:rFonts w:ascii="Arial" w:hAnsi="Arial"/>
          <w:noProof w:val="0"/>
        </w:rPr>
      </w:pPr>
      <w:r>
        <w:rPr>
          <w:rFonts w:ascii="Arial" w:hAnsi="Arial" w:hint="cs"/>
          <w:noProof w:val="0"/>
          <w:rtl/>
        </w:rPr>
        <w:t xml:space="preserve">התביעה להשבת הכספים שהבנק נטל מחשבון התובעת ביום 16.7.18 (0.5 מיליון קרן), לכיסוי יתרת החובה של החברה המרכזית </w:t>
      </w:r>
      <w:r>
        <w:rPr>
          <w:rFonts w:ascii="Arial" w:hAnsi="Arial"/>
          <w:noProof w:val="0"/>
          <w:rtl/>
        </w:rPr>
        <w:t>–</w:t>
      </w:r>
      <w:r>
        <w:rPr>
          <w:rFonts w:ascii="Arial" w:hAnsi="Arial" w:hint="cs"/>
          <w:noProof w:val="0"/>
          <w:rtl/>
        </w:rPr>
        <w:t xml:space="preserve"> מתקבלת. </w:t>
      </w:r>
    </w:p>
    <w:p w:rsidR="00FB4A98" w:rsidRDefault="00FB4A98" w:rsidP="00FB4A98">
      <w:pPr>
        <w:pStyle w:val="af1"/>
        <w:spacing w:line="360" w:lineRule="auto"/>
        <w:ind w:left="652"/>
        <w:jc w:val="both"/>
        <w:rPr>
          <w:rFonts w:ascii="Arial" w:hAnsi="Arial"/>
          <w:noProof w:val="0"/>
        </w:rPr>
      </w:pPr>
      <w:r>
        <w:rPr>
          <w:rFonts w:ascii="Arial" w:hAnsi="Arial" w:hint="cs"/>
          <w:noProof w:val="0"/>
          <w:rtl/>
        </w:rPr>
        <w:t xml:space="preserve">על הנתבע להשיב לתובעת סכום זה בצירוף כל חיוב נוסף (הצמדה, ריבית וכדו'), שבו חויבה התובעת בקשר לאותו סכום, ובצירוף הפרשי הצמדה וריבית כחוק מיום נטילת הסכום או החיובים הנוספים הקשורים אליו, הכל בתוך 30 יום מיום מתן פסק הדין. </w:t>
      </w:r>
    </w:p>
    <w:p w:rsidR="00FB4A98" w:rsidRDefault="00FB4A98" w:rsidP="00FB4A98">
      <w:pPr>
        <w:pStyle w:val="af1"/>
        <w:numPr>
          <w:ilvl w:val="1"/>
          <w:numId w:val="1"/>
        </w:numPr>
        <w:spacing w:line="360" w:lineRule="auto"/>
        <w:ind w:left="652" w:hanging="283"/>
        <w:jc w:val="both"/>
        <w:rPr>
          <w:rFonts w:ascii="Arial" w:hAnsi="Arial"/>
          <w:noProof w:val="0"/>
        </w:rPr>
      </w:pPr>
      <w:r>
        <w:rPr>
          <w:rFonts w:ascii="Arial" w:hAnsi="Arial" w:hint="cs"/>
          <w:noProof w:val="0"/>
          <w:rtl/>
        </w:rPr>
        <w:lastRenderedPageBreak/>
        <w:t xml:space="preserve">התביעה לחיוב הנתבע בתשלום עבור עגמת נפש וכו' </w:t>
      </w:r>
      <w:r>
        <w:rPr>
          <w:rFonts w:ascii="Arial" w:hAnsi="Arial"/>
          <w:noProof w:val="0"/>
          <w:rtl/>
        </w:rPr>
        <w:t>–</w:t>
      </w:r>
      <w:r>
        <w:rPr>
          <w:rFonts w:ascii="Arial" w:hAnsi="Arial" w:hint="cs"/>
          <w:noProof w:val="0"/>
          <w:rtl/>
        </w:rPr>
        <w:t xml:space="preserve"> נדחית. </w:t>
      </w:r>
    </w:p>
    <w:p w:rsidR="00FB4A98" w:rsidRDefault="00FB4A98" w:rsidP="00FB4A98">
      <w:pPr>
        <w:pStyle w:val="af1"/>
        <w:spacing w:line="360" w:lineRule="auto"/>
        <w:ind w:left="652"/>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ההחלטות האמורות בסעיף הקודם הינן ביחס לתביעת התובעת.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תביעת התובע נדחית במלואה. </w:t>
      </w:r>
    </w:p>
    <w:p w:rsidR="00FB4A98" w:rsidRDefault="00FB4A98" w:rsidP="00FB4A98">
      <w:pPr>
        <w:pStyle w:val="af1"/>
        <w:spacing w:line="360" w:lineRule="auto"/>
        <w:ind w:left="369"/>
        <w:jc w:val="both"/>
        <w:rPr>
          <w:rFonts w:ascii="Arial" w:hAnsi="Arial"/>
          <w:noProof w:val="0"/>
        </w:rPr>
      </w:pPr>
    </w:p>
    <w:p w:rsidR="00FB4A98" w:rsidRDefault="00FB4A98" w:rsidP="00FB4A98">
      <w:pPr>
        <w:pStyle w:val="af1"/>
        <w:numPr>
          <w:ilvl w:val="0"/>
          <w:numId w:val="1"/>
        </w:numPr>
        <w:spacing w:line="360" w:lineRule="auto"/>
        <w:ind w:left="369"/>
        <w:jc w:val="both"/>
        <w:rPr>
          <w:rFonts w:ascii="Arial" w:hAnsi="Arial"/>
          <w:noProof w:val="0"/>
        </w:rPr>
      </w:pPr>
      <w:r>
        <w:rPr>
          <w:rFonts w:ascii="Arial" w:hAnsi="Arial" w:hint="cs"/>
          <w:noProof w:val="0"/>
          <w:rtl/>
        </w:rPr>
        <w:t xml:space="preserve">ביחס להוצאות: תביעת התובעת נדחתה ברובה והתקבלה בחלקה הקטן (10% מהסכום הכולל), כך שניתן היה לחייב דווקא את התובעת בתשלום הוצאות, אך בהתחשב במצבה הרפואי היום, ומאחר שהתביעה התקבלה בחלקה הקטן, אינני מחייב אותה בתשלום הוצאות. </w:t>
      </w:r>
    </w:p>
    <w:p w:rsidR="00FB4A98" w:rsidRDefault="00FB4A98" w:rsidP="00FB4A98">
      <w:pPr>
        <w:pStyle w:val="af1"/>
        <w:spacing w:line="360" w:lineRule="auto"/>
        <w:ind w:left="369"/>
        <w:jc w:val="both"/>
        <w:rPr>
          <w:rFonts w:ascii="Arial" w:hAnsi="Arial"/>
          <w:noProof w:val="0"/>
          <w:rtl/>
        </w:rPr>
      </w:pPr>
      <w:r>
        <w:rPr>
          <w:rFonts w:ascii="Arial" w:hAnsi="Arial" w:hint="cs"/>
          <w:noProof w:val="0"/>
          <w:rtl/>
        </w:rPr>
        <w:t xml:space="preserve">לא כן ביחס לתובע, שמלכתחילה לא היה לו כל מעמד כתובע, כאמור. משנדחתה תביעתו במלואה, אני מחייב אותו לשלם לנתבע הוצאות ושכ"ט עו"ד בסך 100,000 ₪. </w:t>
      </w:r>
    </w:p>
    <w:p w:rsidR="00FB4A98" w:rsidRDefault="00FB4A98" w:rsidP="00FB4A98">
      <w:pPr>
        <w:pStyle w:val="af1"/>
        <w:spacing w:line="360" w:lineRule="auto"/>
        <w:ind w:left="369"/>
        <w:jc w:val="both"/>
        <w:rPr>
          <w:rFonts w:ascii="Arial" w:hAnsi="Arial"/>
          <w:noProof w:val="0"/>
          <w:rtl/>
        </w:rPr>
      </w:pPr>
    </w:p>
    <w:p w:rsidR="00FB4A98" w:rsidRDefault="00FB4A98" w:rsidP="00FB4A98">
      <w:pPr>
        <w:pStyle w:val="af1"/>
        <w:spacing w:line="360" w:lineRule="auto"/>
        <w:ind w:left="369"/>
        <w:jc w:val="both"/>
        <w:rPr>
          <w:rFonts w:ascii="Arial" w:hAnsi="Arial"/>
          <w:noProof w:val="0"/>
          <w:rtl/>
        </w:rPr>
      </w:pPr>
    </w:p>
    <w:p w:rsidR="00FB4A98" w:rsidRDefault="00FB4A98" w:rsidP="00FB4A98">
      <w:pPr>
        <w:pStyle w:val="af1"/>
        <w:spacing w:line="360" w:lineRule="auto"/>
        <w:ind w:left="369"/>
        <w:jc w:val="both"/>
        <w:rPr>
          <w:rFonts w:ascii="Arial" w:hAnsi="Arial"/>
          <w:noProof w:val="0"/>
          <w:rtl/>
        </w:rPr>
      </w:pPr>
    </w:p>
    <w:p w:rsidR="00FB4A98" w:rsidRPr="007F7A15" w:rsidRDefault="00FB4A98" w:rsidP="00FB4A98">
      <w:pPr>
        <w:pStyle w:val="af1"/>
        <w:spacing w:line="360" w:lineRule="auto"/>
        <w:ind w:left="369"/>
        <w:jc w:val="both"/>
        <w:rPr>
          <w:rFonts w:ascii="Arial" w:hAnsi="Arial"/>
          <w:noProof w:val="0"/>
        </w:rPr>
      </w:pPr>
    </w:p>
    <w:p w:rsidR="00FB4A98" w:rsidRDefault="00FB4A98" w:rsidP="00FB4A98">
      <w:pPr>
        <w:spacing w:line="360" w:lineRule="auto"/>
        <w:jc w:val="both"/>
        <w:rPr>
          <w:rFonts w:ascii="Arial" w:hAnsi="Arial"/>
          <w:noProof w:val="0"/>
          <w:rtl/>
        </w:rPr>
      </w:pPr>
    </w:p>
    <w:p w:rsidR="00FB4A98" w:rsidRDefault="00FB4A98" w:rsidP="00FB4A98">
      <w:pPr>
        <w:spacing w:line="360" w:lineRule="auto"/>
        <w:jc w:val="both"/>
        <w:rPr>
          <w:rFonts w:ascii="Arial" w:hAnsi="Arial"/>
          <w:noProof w:val="0"/>
          <w:rtl/>
        </w:rPr>
      </w:pPr>
    </w:p>
    <w:p w:rsidR="00FB4A98" w:rsidRDefault="00FB4A98" w:rsidP="00FB4A9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כ'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יוני 2024</w:t>
          </w:r>
        </w:sdtContent>
      </w:sdt>
      <w:r>
        <w:rPr>
          <w:rFonts w:ascii="Arial" w:hAnsi="Arial"/>
          <w:noProof w:val="0"/>
          <w:rtl/>
        </w:rPr>
        <w:t>, בהעדר הצדדים.</w:t>
      </w:r>
    </w:p>
    <w:p w:rsidR="00FB4A98" w:rsidRDefault="00FB4A98" w:rsidP="00FB4A98">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8D976C288D3A4227B3E2CB2EEEB168CC"/>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FB4A98" w:rsidRDefault="00BF305E" w:rsidP="00FB4A98">
      <w:pPr>
        <w:spacing w:line="360" w:lineRule="auto"/>
        <w:ind w:left="3600" w:firstLine="720"/>
      </w:pPr>
      <w:sdt>
        <w:sdtPr>
          <w:rPr>
            <w:rtl/>
          </w:rPr>
          <w:alias w:val="MergeField"/>
          <w:tag w:val="1237"/>
          <w:id w:val="3953697"/>
        </w:sdtPr>
        <w:sdtEndPr/>
        <w:sdtContent>
          <w:r w:rsidR="00FB4A98">
            <w:drawing>
              <wp:inline distT="0" distB="0" distL="0" distR="0" wp14:anchorId="2FDE1540" wp14:editId="75E20BF1">
                <wp:extent cx="10515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51560" cy="822960"/>
                        </a:xfrm>
                        <a:prstGeom prst="rect">
                          <a:avLst/>
                        </a:prstGeom>
                      </pic:spPr>
                    </pic:pic>
                  </a:graphicData>
                </a:graphic>
              </wp:inline>
            </w:drawing>
          </w:r>
        </w:sdtContent>
      </w:sdt>
    </w:p>
    <w:p w:rsidR="00FB4A98" w:rsidRDefault="00FB4A98" w:rsidP="00FB4A98">
      <w:pPr>
        <w:spacing w:line="360" w:lineRule="auto"/>
        <w:ind w:left="3600" w:firstLine="720"/>
        <w:rPr>
          <w:rFonts w:ascii="Arial" w:hAnsi="Arial"/>
          <w:noProof w:val="0"/>
          <w:rtl/>
        </w:rPr>
      </w:pPr>
    </w:p>
    <w:p w:rsidR="00FB4A98" w:rsidRDefault="00FB4A98" w:rsidP="00FB4A98">
      <w:pPr>
        <w:spacing w:line="360" w:lineRule="auto"/>
        <w:jc w:val="both"/>
        <w:rPr>
          <w:rFonts w:ascii="Arial" w:hAnsi="Arial"/>
          <w:noProof w:val="0"/>
          <w:rtl/>
        </w:rPr>
      </w:pPr>
    </w:p>
    <w:p w:rsidR="00694556" w:rsidRPr="00FB4A98" w:rsidRDefault="00694556" w:rsidP="00FB4A98">
      <w:pPr>
        <w:rPr>
          <w:rtl/>
        </w:rPr>
      </w:pPr>
    </w:p>
    <w:sectPr w:rsidR="00694556" w:rsidRPr="00FB4A98" w:rsidSect="006B5553">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05E" w:rsidRDefault="00BF305E">
      <w:r>
        <w:separator/>
      </w:r>
    </w:p>
  </w:endnote>
  <w:endnote w:type="continuationSeparator" w:id="0">
    <w:p w:rsidR="00BF305E" w:rsidRDefault="00BF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222" w:rsidRDefault="0044122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441222">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441222">
      <w:rPr>
        <w:rStyle w:val="af"/>
        <w:rtl/>
      </w:rPr>
      <w:t>35</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222" w:rsidRDefault="0044122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05E" w:rsidRDefault="00BF305E">
      <w:r>
        <w:separator/>
      </w:r>
    </w:p>
  </w:footnote>
  <w:footnote w:type="continuationSeparator" w:id="0">
    <w:p w:rsidR="00BF305E" w:rsidRDefault="00BF3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222" w:rsidRDefault="0044122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0" w:name="_GoBack"/>
    <w:tr w:rsidR="00694556" w:rsidRPr="00CD0055">
      <w:trPr>
        <w:trHeight w:val="337"/>
        <w:jc w:val="center"/>
      </w:trPr>
      <w:tc>
        <w:tcPr>
          <w:tcW w:w="8721" w:type="dxa"/>
          <w:gridSpan w:val="2"/>
        </w:tcPr>
        <w:p w:rsidR="00694556" w:rsidRPr="00CD0055" w:rsidRDefault="00BF305E" w:rsidP="00A82F65">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71057-12-19</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A82F65">
                <w:rPr>
                  <w:rFonts w:hint="cs"/>
                  <w:b/>
                  <w:bCs/>
                  <w:noProof w:val="0"/>
                  <w:sz w:val="26"/>
                  <w:szCs w:val="26"/>
                  <w:rtl/>
                </w:rPr>
                <w:t>פלונית</w:t>
              </w:r>
              <w:r w:rsidR="006B5553">
                <w:rPr>
                  <w:b/>
                  <w:bCs/>
                  <w:noProof w:val="0"/>
                  <w:sz w:val="26"/>
                  <w:szCs w:val="26"/>
                  <w:rtl/>
                </w:rPr>
                <w:t xml:space="preserve"> ואח' נ' הבנק הבינלאומי הראשון לישראל בע</w:t>
              </w:r>
              <w:r w:rsidR="00433199">
                <w:rPr>
                  <w:rFonts w:hint="cs"/>
                  <w:b/>
                  <w:bCs/>
                  <w:noProof w:val="0"/>
                  <w:sz w:val="26"/>
                  <w:szCs w:val="26"/>
                  <w:rtl/>
                </w:rPr>
                <w:t>"</w:t>
              </w:r>
              <w:r w:rsidR="006B5553">
                <w:rPr>
                  <w:b/>
                  <w:bCs/>
                  <w:noProof w:val="0"/>
                  <w:sz w:val="26"/>
                  <w:szCs w:val="26"/>
                  <w:rtl/>
                </w:rPr>
                <w:t>מ</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222" w:rsidRDefault="004412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A170B"/>
    <w:multiLevelType w:val="hybridMultilevel"/>
    <w:tmpl w:val="673289C6"/>
    <w:lvl w:ilvl="0" w:tplc="04090013">
      <w:start w:val="1"/>
      <w:numFmt w:val="hebrew1"/>
      <w:lvlText w:val="%1."/>
      <w:lvlJc w:val="center"/>
      <w:pPr>
        <w:ind w:left="3069" w:hanging="360"/>
      </w:pPr>
    </w:lvl>
    <w:lvl w:ilvl="1" w:tplc="04090019" w:tentative="1">
      <w:start w:val="1"/>
      <w:numFmt w:val="lowerLetter"/>
      <w:lvlText w:val="%2."/>
      <w:lvlJc w:val="left"/>
      <w:pPr>
        <w:ind w:left="3789" w:hanging="360"/>
      </w:pPr>
    </w:lvl>
    <w:lvl w:ilvl="2" w:tplc="0409001B" w:tentative="1">
      <w:start w:val="1"/>
      <w:numFmt w:val="lowerRoman"/>
      <w:lvlText w:val="%3."/>
      <w:lvlJc w:val="right"/>
      <w:pPr>
        <w:ind w:left="4509" w:hanging="180"/>
      </w:pPr>
    </w:lvl>
    <w:lvl w:ilvl="3" w:tplc="0409000F" w:tentative="1">
      <w:start w:val="1"/>
      <w:numFmt w:val="decimal"/>
      <w:lvlText w:val="%4."/>
      <w:lvlJc w:val="left"/>
      <w:pPr>
        <w:ind w:left="5229" w:hanging="360"/>
      </w:pPr>
    </w:lvl>
    <w:lvl w:ilvl="4" w:tplc="04090019" w:tentative="1">
      <w:start w:val="1"/>
      <w:numFmt w:val="lowerLetter"/>
      <w:lvlText w:val="%5."/>
      <w:lvlJc w:val="left"/>
      <w:pPr>
        <w:ind w:left="5949" w:hanging="360"/>
      </w:pPr>
    </w:lvl>
    <w:lvl w:ilvl="5" w:tplc="0409001B" w:tentative="1">
      <w:start w:val="1"/>
      <w:numFmt w:val="lowerRoman"/>
      <w:lvlText w:val="%6."/>
      <w:lvlJc w:val="right"/>
      <w:pPr>
        <w:ind w:left="6669" w:hanging="180"/>
      </w:pPr>
    </w:lvl>
    <w:lvl w:ilvl="6" w:tplc="0409000F" w:tentative="1">
      <w:start w:val="1"/>
      <w:numFmt w:val="decimal"/>
      <w:lvlText w:val="%7."/>
      <w:lvlJc w:val="left"/>
      <w:pPr>
        <w:ind w:left="7389" w:hanging="360"/>
      </w:pPr>
    </w:lvl>
    <w:lvl w:ilvl="7" w:tplc="04090019" w:tentative="1">
      <w:start w:val="1"/>
      <w:numFmt w:val="lowerLetter"/>
      <w:lvlText w:val="%8."/>
      <w:lvlJc w:val="left"/>
      <w:pPr>
        <w:ind w:left="8109" w:hanging="360"/>
      </w:pPr>
    </w:lvl>
    <w:lvl w:ilvl="8" w:tplc="0409001B" w:tentative="1">
      <w:start w:val="1"/>
      <w:numFmt w:val="lowerRoman"/>
      <w:lvlText w:val="%9."/>
      <w:lvlJc w:val="right"/>
      <w:pPr>
        <w:ind w:left="8829" w:hanging="180"/>
      </w:pPr>
    </w:lvl>
  </w:abstractNum>
  <w:abstractNum w:abstractNumId="1" w15:restartNumberingAfterBreak="0">
    <w:nsid w:val="42C25D74"/>
    <w:multiLevelType w:val="hybridMultilevel"/>
    <w:tmpl w:val="0EAEA4E4"/>
    <w:lvl w:ilvl="0" w:tplc="04090013">
      <w:start w:val="1"/>
      <w:numFmt w:val="hebrew1"/>
      <w:lvlText w:val="%1."/>
      <w:lvlJc w:val="center"/>
      <w:pPr>
        <w:ind w:left="1089" w:hanging="360"/>
      </w:pPr>
    </w:lvl>
    <w:lvl w:ilvl="1" w:tplc="04090019" w:tentative="1">
      <w:start w:val="1"/>
      <w:numFmt w:val="lowerLetter"/>
      <w:lvlText w:val="%2."/>
      <w:lvlJc w:val="left"/>
      <w:pPr>
        <w:ind w:left="1809" w:hanging="360"/>
      </w:pPr>
    </w:lvl>
    <w:lvl w:ilvl="2" w:tplc="04090013">
      <w:start w:val="1"/>
      <w:numFmt w:val="hebrew1"/>
      <w:lvlText w:val="%3."/>
      <w:lvlJc w:val="center"/>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2" w15:restartNumberingAfterBreak="0">
    <w:nsid w:val="57EE7E73"/>
    <w:multiLevelType w:val="hybridMultilevel"/>
    <w:tmpl w:val="9E164DBC"/>
    <w:lvl w:ilvl="0" w:tplc="02CE1840">
      <w:start w:val="1"/>
      <w:numFmt w:val="decimal"/>
      <w:lvlText w:val="%1."/>
      <w:lvlJc w:val="left"/>
      <w:pPr>
        <w:ind w:left="720" w:hanging="360"/>
      </w:pPr>
      <w:rPr>
        <w:b w:val="0"/>
        <w:bCs w:val="0"/>
      </w:rPr>
    </w:lvl>
    <w:lvl w:ilvl="1" w:tplc="7AF8FB58">
      <w:start w:val="1"/>
      <w:numFmt w:val="hebrew1"/>
      <w:lvlText w:val="%2-"/>
      <w:lvlJc w:val="left"/>
      <w:pPr>
        <w:ind w:left="1440" w:hanging="360"/>
      </w:pPr>
      <w:rPr>
        <w:rFonts w:hint="default"/>
        <w:b w:val="0"/>
        <w:bCs w:val="0"/>
      </w:rPr>
    </w:lvl>
    <w:lvl w:ilvl="2" w:tplc="847AC04A">
      <w:start w:val="1"/>
      <w:numFmt w:val="hebrew1"/>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052094"/>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052094&amp;lt;/CaseID&amp;gt;_x000d__x000a_        &amp;lt;DocumentID&amp;gt;447401534&amp;lt;/DocumentID&amp;gt;_x000d__x000a_      &amp;lt;/dt_DocumentCase&amp;gt;_x000d__x000a_      &amp;lt;dt_Document diffgr:id=&amp;quot;dt_Document1&amp;quot; msdata:rowOrder=&amp;quot;0&amp;quot;&amp;gt;_x000d__x000a_        &amp;lt;DocumentID&amp;gt;447401534&amp;lt;/DocumentID&amp;gt;_x000d__x000a_        &amp;lt;DocumentMainID&amp;gt;0&amp;lt;/DocumentMainID&amp;gt;_x000d__x000a_        &amp;lt;CaseID&amp;gt;77052094&amp;lt;/CaseID&amp;gt;_x000d__x000a_        &amp;lt;DocumentIncludedDate&amp;gt;2024-07-01T11:14:52.777+03:00&amp;lt;/DocumentIncludedDate&amp;gt;_x000d__x000a_        &amp;lt;DocumentDesc&amp;gt;פסק דין  שניתנה ע&amp;quot;י  יונה אטדג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7-01T11:14:52.777+03:00&amp;lt;/DocumentSavingDate&amp;gt;_x000d__x000a_        &amp;lt;DocumentChangeDate&amp;gt;2024-07-01T11:14:52.903+03:00&amp;lt;/DocumentChangeDate&amp;gt;_x000d__x000a_        &amp;lt;IsScanned&amp;gt;false&amp;lt;/IsScanned&amp;gt;_x000d__x000a_        &amp;lt;PageQuantity&amp;gt;0&amp;lt;/PageQuantity&amp;gt;_x000d__x000a_        &amp;lt;DocumentStatusID&amp;gt;2&amp;lt;/DocumentStatusID&amp;gt;_x000d__x000a_        &amp;lt;DocumentStatusChangeDate&amp;gt;2024-07-01T11:14:52.903+03:00&amp;lt;/DocumentStatusChangeDate&amp;gt;_x000d__x000a_        &amp;lt;TemplateVersionID&amp;gt;1&amp;lt;/TemplateVersionID&amp;gt;_x000d__x000a_        &amp;lt;DocumentChangeUserID&amp;gt;012356945@GOV.IL&amp;lt;/DocumentChangeUserID&amp;gt;_x000d__x000a_        &amp;lt;DocumentCreationUserID&amp;gt;012356945@GOV.IL&amp;lt;/DocumentCreationUserID&amp;gt;_x000d__x000a_        &amp;lt;OriginalDocumentID&amp;gt;446389467&amp;lt;/OriginalDocumentID&amp;gt;_x000d__x000a_        &amp;lt;PrivillegeID&amp;gt;1&amp;lt;/PrivillegeID&amp;gt;_x000d__x000a_        &amp;lt;FromPage&amp;gt;0&amp;lt;/FromPage&amp;gt;_x000d__x000a_        &amp;lt;ToPage&amp;gt;0&amp;lt;/ToPage&amp;gt;_x000d__x000a_        &amp;lt;FileID&amp;gt;8b6f5c6d90010000090037f6aa85135b&amp;lt;/FileID&amp;gt;_x000d__x000a_        &amp;lt;URL&amp;gt;\\CTLNFSV02\doc_repository\997\618\5b25425b83cd4b188d5d36d3fa87f7ae_copy.docx&amp;lt;/URL&amp;gt;_x000d__x000a_        &amp;lt;OlivePriority&amp;gt;1&amp;lt;/OlivePriority&amp;gt;_x000d__x000a_        &amp;lt;MetaDataTypeID&amp;gt;1&amp;lt;/MetaDataTypeID&amp;gt;_x000d__x000a_        &amp;lt;MetaDataChangeDate&amp;gt;2024-07-01T11:14:52.90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יונה אטדגי&amp;amp;lt;/anyType&amp;amp;gt;_x000d__x000a_    &amp;amp;lt;anyType xsi:type=&amp;quot;xsd:dateTime&amp;quot;&amp;amp;gt;2024-06-26T19:12:13.531566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26T19:12:13.5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3B1E"/>
    <w:rsid w:val="000258FD"/>
    <w:rsid w:val="00042CBD"/>
    <w:rsid w:val="00051C32"/>
    <w:rsid w:val="000559E0"/>
    <w:rsid w:val="000564AB"/>
    <w:rsid w:val="00075359"/>
    <w:rsid w:val="0008528D"/>
    <w:rsid w:val="000B2E97"/>
    <w:rsid w:val="000B7ACE"/>
    <w:rsid w:val="000D4A02"/>
    <w:rsid w:val="000D5BC9"/>
    <w:rsid w:val="00105A1E"/>
    <w:rsid w:val="00107083"/>
    <w:rsid w:val="001071CA"/>
    <w:rsid w:val="001072A9"/>
    <w:rsid w:val="001118FE"/>
    <w:rsid w:val="00111CA3"/>
    <w:rsid w:val="00121F97"/>
    <w:rsid w:val="00122DD7"/>
    <w:rsid w:val="001277D7"/>
    <w:rsid w:val="00132017"/>
    <w:rsid w:val="0013427C"/>
    <w:rsid w:val="00136331"/>
    <w:rsid w:val="00137076"/>
    <w:rsid w:val="00140DA2"/>
    <w:rsid w:val="0014234E"/>
    <w:rsid w:val="00145A87"/>
    <w:rsid w:val="0015182A"/>
    <w:rsid w:val="00153121"/>
    <w:rsid w:val="00157F6E"/>
    <w:rsid w:val="0017048F"/>
    <w:rsid w:val="0017601D"/>
    <w:rsid w:val="0017771B"/>
    <w:rsid w:val="00177F2F"/>
    <w:rsid w:val="0018743E"/>
    <w:rsid w:val="00187918"/>
    <w:rsid w:val="00191507"/>
    <w:rsid w:val="001926E8"/>
    <w:rsid w:val="00194270"/>
    <w:rsid w:val="001B2C7B"/>
    <w:rsid w:val="001B62FD"/>
    <w:rsid w:val="001C4003"/>
    <w:rsid w:val="001C4FAA"/>
    <w:rsid w:val="001C6351"/>
    <w:rsid w:val="001D633B"/>
    <w:rsid w:val="001D74BF"/>
    <w:rsid w:val="001D7E00"/>
    <w:rsid w:val="001D7EDD"/>
    <w:rsid w:val="001F5474"/>
    <w:rsid w:val="001F7A4F"/>
    <w:rsid w:val="002062E1"/>
    <w:rsid w:val="0021753C"/>
    <w:rsid w:val="00223E31"/>
    <w:rsid w:val="00224491"/>
    <w:rsid w:val="002352F7"/>
    <w:rsid w:val="002428F7"/>
    <w:rsid w:val="00263467"/>
    <w:rsid w:val="00270B9C"/>
    <w:rsid w:val="00277C1F"/>
    <w:rsid w:val="002834B1"/>
    <w:rsid w:val="00283F7A"/>
    <w:rsid w:val="00286364"/>
    <w:rsid w:val="00293605"/>
    <w:rsid w:val="00294C45"/>
    <w:rsid w:val="002951AA"/>
    <w:rsid w:val="00295DA6"/>
    <w:rsid w:val="00295DD1"/>
    <w:rsid w:val="0029611A"/>
    <w:rsid w:val="002965C5"/>
    <w:rsid w:val="002B222E"/>
    <w:rsid w:val="002B2B1A"/>
    <w:rsid w:val="002B4938"/>
    <w:rsid w:val="002C4984"/>
    <w:rsid w:val="002D48EF"/>
    <w:rsid w:val="002E2053"/>
    <w:rsid w:val="003043A8"/>
    <w:rsid w:val="003304A6"/>
    <w:rsid w:val="00330877"/>
    <w:rsid w:val="0034192E"/>
    <w:rsid w:val="003569B4"/>
    <w:rsid w:val="00381D3A"/>
    <w:rsid w:val="003823DA"/>
    <w:rsid w:val="00384172"/>
    <w:rsid w:val="00390C52"/>
    <w:rsid w:val="00392D16"/>
    <w:rsid w:val="003B5485"/>
    <w:rsid w:val="003C3AEC"/>
    <w:rsid w:val="003D4A10"/>
    <w:rsid w:val="003E550E"/>
    <w:rsid w:val="003F1318"/>
    <w:rsid w:val="003F7B63"/>
    <w:rsid w:val="00402EF3"/>
    <w:rsid w:val="00413661"/>
    <w:rsid w:val="00416469"/>
    <w:rsid w:val="00424A5F"/>
    <w:rsid w:val="00433199"/>
    <w:rsid w:val="0043595F"/>
    <w:rsid w:val="004379DF"/>
    <w:rsid w:val="00441222"/>
    <w:rsid w:val="00442659"/>
    <w:rsid w:val="00453145"/>
    <w:rsid w:val="00463CB3"/>
    <w:rsid w:val="00467209"/>
    <w:rsid w:val="00475348"/>
    <w:rsid w:val="0047601B"/>
    <w:rsid w:val="0047603B"/>
    <w:rsid w:val="0047645A"/>
    <w:rsid w:val="004774FF"/>
    <w:rsid w:val="0049120B"/>
    <w:rsid w:val="004D0970"/>
    <w:rsid w:val="004D49A3"/>
    <w:rsid w:val="004D63D4"/>
    <w:rsid w:val="004E6E3C"/>
    <w:rsid w:val="004E79D7"/>
    <w:rsid w:val="004F5C20"/>
    <w:rsid w:val="004F6718"/>
    <w:rsid w:val="00502A1F"/>
    <w:rsid w:val="00511C56"/>
    <w:rsid w:val="00512254"/>
    <w:rsid w:val="005124F1"/>
    <w:rsid w:val="0051273D"/>
    <w:rsid w:val="0051350E"/>
    <w:rsid w:val="0052333B"/>
    <w:rsid w:val="00525344"/>
    <w:rsid w:val="00525A5A"/>
    <w:rsid w:val="00530BAD"/>
    <w:rsid w:val="00541598"/>
    <w:rsid w:val="00543F77"/>
    <w:rsid w:val="005470B9"/>
    <w:rsid w:val="00547DB7"/>
    <w:rsid w:val="005545A8"/>
    <w:rsid w:val="00554AF2"/>
    <w:rsid w:val="00562CBC"/>
    <w:rsid w:val="00563FF5"/>
    <w:rsid w:val="00565097"/>
    <w:rsid w:val="00567324"/>
    <w:rsid w:val="00571983"/>
    <w:rsid w:val="0058736A"/>
    <w:rsid w:val="00593D14"/>
    <w:rsid w:val="00596E8B"/>
    <w:rsid w:val="005976B0"/>
    <w:rsid w:val="005A7CDA"/>
    <w:rsid w:val="005B0F49"/>
    <w:rsid w:val="005C3070"/>
    <w:rsid w:val="005C7EC6"/>
    <w:rsid w:val="005D4BDB"/>
    <w:rsid w:val="005F2D6A"/>
    <w:rsid w:val="0060545F"/>
    <w:rsid w:val="006204E6"/>
    <w:rsid w:val="00622BAA"/>
    <w:rsid w:val="00625C89"/>
    <w:rsid w:val="00632BFD"/>
    <w:rsid w:val="00633388"/>
    <w:rsid w:val="0063394C"/>
    <w:rsid w:val="00633C4F"/>
    <w:rsid w:val="00637BF6"/>
    <w:rsid w:val="00641213"/>
    <w:rsid w:val="00654D87"/>
    <w:rsid w:val="00662263"/>
    <w:rsid w:val="00664612"/>
    <w:rsid w:val="00671BD5"/>
    <w:rsid w:val="006805C1"/>
    <w:rsid w:val="006816EC"/>
    <w:rsid w:val="00685FF5"/>
    <w:rsid w:val="006866CD"/>
    <w:rsid w:val="00686FEF"/>
    <w:rsid w:val="00694556"/>
    <w:rsid w:val="006A16E8"/>
    <w:rsid w:val="006B29F9"/>
    <w:rsid w:val="006B5553"/>
    <w:rsid w:val="006B666A"/>
    <w:rsid w:val="006D34F8"/>
    <w:rsid w:val="006D6345"/>
    <w:rsid w:val="006E1A53"/>
    <w:rsid w:val="006E3246"/>
    <w:rsid w:val="006F1597"/>
    <w:rsid w:val="007056AA"/>
    <w:rsid w:val="0072571C"/>
    <w:rsid w:val="0072656A"/>
    <w:rsid w:val="007354AF"/>
    <w:rsid w:val="00744F41"/>
    <w:rsid w:val="00753954"/>
    <w:rsid w:val="00756EEE"/>
    <w:rsid w:val="00770E72"/>
    <w:rsid w:val="0077759E"/>
    <w:rsid w:val="00785F5B"/>
    <w:rsid w:val="00786022"/>
    <w:rsid w:val="00787F7E"/>
    <w:rsid w:val="00795D87"/>
    <w:rsid w:val="007A24FE"/>
    <w:rsid w:val="007A35AA"/>
    <w:rsid w:val="007B22A5"/>
    <w:rsid w:val="007C3A4B"/>
    <w:rsid w:val="007D2E42"/>
    <w:rsid w:val="007D73C6"/>
    <w:rsid w:val="007E0199"/>
    <w:rsid w:val="007E18E0"/>
    <w:rsid w:val="007F1048"/>
    <w:rsid w:val="007F3603"/>
    <w:rsid w:val="007F4E8A"/>
    <w:rsid w:val="007F6193"/>
    <w:rsid w:val="007F75C3"/>
    <w:rsid w:val="007F7A15"/>
    <w:rsid w:val="008165A8"/>
    <w:rsid w:val="00820005"/>
    <w:rsid w:val="00826EE8"/>
    <w:rsid w:val="008278D1"/>
    <w:rsid w:val="00827C7D"/>
    <w:rsid w:val="0083071F"/>
    <w:rsid w:val="0083107C"/>
    <w:rsid w:val="0084016C"/>
    <w:rsid w:val="00840537"/>
    <w:rsid w:val="00845105"/>
    <w:rsid w:val="00845460"/>
    <w:rsid w:val="00846D27"/>
    <w:rsid w:val="00850109"/>
    <w:rsid w:val="00860F2D"/>
    <w:rsid w:val="008610A7"/>
    <w:rsid w:val="0086372A"/>
    <w:rsid w:val="00881AA9"/>
    <w:rsid w:val="008820EE"/>
    <w:rsid w:val="00883770"/>
    <w:rsid w:val="00884FFB"/>
    <w:rsid w:val="00886000"/>
    <w:rsid w:val="00896F5E"/>
    <w:rsid w:val="00897ECD"/>
    <w:rsid w:val="008A559C"/>
    <w:rsid w:val="008C2E00"/>
    <w:rsid w:val="008D2108"/>
    <w:rsid w:val="008D4783"/>
    <w:rsid w:val="008E1332"/>
    <w:rsid w:val="008F5146"/>
    <w:rsid w:val="00903896"/>
    <w:rsid w:val="0090569B"/>
    <w:rsid w:val="0090698A"/>
    <w:rsid w:val="00920095"/>
    <w:rsid w:val="00927813"/>
    <w:rsid w:val="0093197B"/>
    <w:rsid w:val="00933BF8"/>
    <w:rsid w:val="00935261"/>
    <w:rsid w:val="00935817"/>
    <w:rsid w:val="00942C16"/>
    <w:rsid w:val="00944D13"/>
    <w:rsid w:val="00957C90"/>
    <w:rsid w:val="00974E91"/>
    <w:rsid w:val="00987DB0"/>
    <w:rsid w:val="009903D1"/>
    <w:rsid w:val="009A2EAF"/>
    <w:rsid w:val="009B25D1"/>
    <w:rsid w:val="009C0322"/>
    <w:rsid w:val="009C4A23"/>
    <w:rsid w:val="009C6668"/>
    <w:rsid w:val="009C7A2E"/>
    <w:rsid w:val="009E0263"/>
    <w:rsid w:val="009E5C97"/>
    <w:rsid w:val="009E6BC6"/>
    <w:rsid w:val="00A0260A"/>
    <w:rsid w:val="00A05BE8"/>
    <w:rsid w:val="00A267CF"/>
    <w:rsid w:val="00A32638"/>
    <w:rsid w:val="00A33FE1"/>
    <w:rsid w:val="00A403C5"/>
    <w:rsid w:val="00A43458"/>
    <w:rsid w:val="00A54387"/>
    <w:rsid w:val="00A57948"/>
    <w:rsid w:val="00A66345"/>
    <w:rsid w:val="00A678D4"/>
    <w:rsid w:val="00A714AF"/>
    <w:rsid w:val="00A811E1"/>
    <w:rsid w:val="00A8240B"/>
    <w:rsid w:val="00A82F65"/>
    <w:rsid w:val="00A83681"/>
    <w:rsid w:val="00A870D1"/>
    <w:rsid w:val="00AB09D6"/>
    <w:rsid w:val="00AC1C3C"/>
    <w:rsid w:val="00AC4E19"/>
    <w:rsid w:val="00AE1B01"/>
    <w:rsid w:val="00AE3875"/>
    <w:rsid w:val="00AF1797"/>
    <w:rsid w:val="00AF1ED6"/>
    <w:rsid w:val="00AF2EF3"/>
    <w:rsid w:val="00AF3177"/>
    <w:rsid w:val="00B03507"/>
    <w:rsid w:val="00B13F52"/>
    <w:rsid w:val="00B145FE"/>
    <w:rsid w:val="00B31AD4"/>
    <w:rsid w:val="00B32C61"/>
    <w:rsid w:val="00B368AA"/>
    <w:rsid w:val="00B368FE"/>
    <w:rsid w:val="00B41E26"/>
    <w:rsid w:val="00B41FF9"/>
    <w:rsid w:val="00B80CBD"/>
    <w:rsid w:val="00B82307"/>
    <w:rsid w:val="00BA4AD6"/>
    <w:rsid w:val="00BA5785"/>
    <w:rsid w:val="00BB3899"/>
    <w:rsid w:val="00BB74F2"/>
    <w:rsid w:val="00BC1C5D"/>
    <w:rsid w:val="00BC3369"/>
    <w:rsid w:val="00BE78EB"/>
    <w:rsid w:val="00BF305E"/>
    <w:rsid w:val="00BF77EE"/>
    <w:rsid w:val="00C157A5"/>
    <w:rsid w:val="00C24298"/>
    <w:rsid w:val="00C32E0F"/>
    <w:rsid w:val="00C34168"/>
    <w:rsid w:val="00C40F6C"/>
    <w:rsid w:val="00C4279B"/>
    <w:rsid w:val="00C42BF9"/>
    <w:rsid w:val="00C56B61"/>
    <w:rsid w:val="00C83E56"/>
    <w:rsid w:val="00C93F0B"/>
    <w:rsid w:val="00C974EF"/>
    <w:rsid w:val="00CA6AD8"/>
    <w:rsid w:val="00CB2D16"/>
    <w:rsid w:val="00CB607F"/>
    <w:rsid w:val="00CB7948"/>
    <w:rsid w:val="00CC09BE"/>
    <w:rsid w:val="00CC56B0"/>
    <w:rsid w:val="00CD0055"/>
    <w:rsid w:val="00CD2EFD"/>
    <w:rsid w:val="00CE4777"/>
    <w:rsid w:val="00CE4FD7"/>
    <w:rsid w:val="00D1746D"/>
    <w:rsid w:val="00D23106"/>
    <w:rsid w:val="00D319B3"/>
    <w:rsid w:val="00D50FED"/>
    <w:rsid w:val="00D518EB"/>
    <w:rsid w:val="00D52E65"/>
    <w:rsid w:val="00D53924"/>
    <w:rsid w:val="00D55DA4"/>
    <w:rsid w:val="00D60849"/>
    <w:rsid w:val="00D6495A"/>
    <w:rsid w:val="00D72AC6"/>
    <w:rsid w:val="00D74CEB"/>
    <w:rsid w:val="00D87657"/>
    <w:rsid w:val="00D95EE5"/>
    <w:rsid w:val="00D96B92"/>
    <w:rsid w:val="00D96C29"/>
    <w:rsid w:val="00D96D8C"/>
    <w:rsid w:val="00DA10D6"/>
    <w:rsid w:val="00DC5D55"/>
    <w:rsid w:val="00DD337E"/>
    <w:rsid w:val="00DE4E3B"/>
    <w:rsid w:val="00DF2291"/>
    <w:rsid w:val="00DF5849"/>
    <w:rsid w:val="00E00B6F"/>
    <w:rsid w:val="00E00E07"/>
    <w:rsid w:val="00E04FA5"/>
    <w:rsid w:val="00E105D5"/>
    <w:rsid w:val="00E24E19"/>
    <w:rsid w:val="00E33A7F"/>
    <w:rsid w:val="00E35307"/>
    <w:rsid w:val="00E36760"/>
    <w:rsid w:val="00E41A34"/>
    <w:rsid w:val="00E50B33"/>
    <w:rsid w:val="00E50C5D"/>
    <w:rsid w:val="00E50F60"/>
    <w:rsid w:val="00E512DE"/>
    <w:rsid w:val="00E5461B"/>
    <w:rsid w:val="00E54642"/>
    <w:rsid w:val="00E55F73"/>
    <w:rsid w:val="00E74B94"/>
    <w:rsid w:val="00E80F00"/>
    <w:rsid w:val="00E900C5"/>
    <w:rsid w:val="00E97908"/>
    <w:rsid w:val="00EA197B"/>
    <w:rsid w:val="00EA29AC"/>
    <w:rsid w:val="00EC1946"/>
    <w:rsid w:val="00EC5968"/>
    <w:rsid w:val="00ED7654"/>
    <w:rsid w:val="00EE3435"/>
    <w:rsid w:val="00EE402C"/>
    <w:rsid w:val="00EF3ED0"/>
    <w:rsid w:val="00F001A0"/>
    <w:rsid w:val="00F11434"/>
    <w:rsid w:val="00F16131"/>
    <w:rsid w:val="00F17E56"/>
    <w:rsid w:val="00F30C02"/>
    <w:rsid w:val="00F31E8E"/>
    <w:rsid w:val="00F37282"/>
    <w:rsid w:val="00F40132"/>
    <w:rsid w:val="00F53EAC"/>
    <w:rsid w:val="00F55ECE"/>
    <w:rsid w:val="00F6289B"/>
    <w:rsid w:val="00F73D03"/>
    <w:rsid w:val="00F7512D"/>
    <w:rsid w:val="00F9561C"/>
    <w:rsid w:val="00F95822"/>
    <w:rsid w:val="00FA7E88"/>
    <w:rsid w:val="00FB299E"/>
    <w:rsid w:val="00FB4A98"/>
    <w:rsid w:val="00FD3345"/>
    <w:rsid w:val="00FD6234"/>
    <w:rsid w:val="00FF437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6B29F9"/>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57C90"/>
    <w:rPr>
      <w:color w:val="808080"/>
    </w:rPr>
  </w:style>
  <w:style w:type="paragraph" w:styleId="af1">
    <w:name w:val="List Paragraph"/>
    <w:basedOn w:val="a"/>
    <w:uiPriority w:val="34"/>
    <w:qFormat/>
    <w:rsid w:val="00433199"/>
    <w:pPr>
      <w:ind w:left="720"/>
      <w:contextualSpacing/>
    </w:pPr>
  </w:style>
  <w:style w:type="character" w:customStyle="1" w:styleId="50">
    <w:name w:val="כותרת 5 תו"/>
    <w:basedOn w:val="a0"/>
    <w:link w:val="5"/>
    <w:semiHidden/>
    <w:rsid w:val="006B29F9"/>
    <w:rPr>
      <w:rFonts w:asciiTheme="majorHAnsi" w:eastAsiaTheme="majorEastAsia" w:hAnsiTheme="majorHAnsi" w:cstheme="majorBidi"/>
      <w:noProof/>
      <w:color w:val="365F91" w:themeColor="accent1" w:themeShade="BF"/>
      <w:sz w:val="24"/>
      <w:szCs w:val="24"/>
    </w:rPr>
  </w:style>
  <w:style w:type="character" w:customStyle="1" w:styleId="40">
    <w:name w:val="כותרת 4 תו"/>
    <w:basedOn w:val="a0"/>
    <w:link w:val="4"/>
    <w:rsid w:val="00FB4A98"/>
    <w:rPr>
      <w:rFonts w:cs="Narkisim"/>
      <w:b/>
      <w:bCs/>
      <w:noProof/>
      <w:sz w:val="24"/>
      <w:szCs w:val="24"/>
      <w14:shadow w14:blurRad="50800" w14:dist="38100" w14:dir="2700000" w14:sx="100000" w14:sy="100000" w14:kx="0" w14:ky="0" w14:algn="tl">
        <w14:srgbClr w14:val="000000">
          <w14:alpha w14:val="60000"/>
        </w14:srgbClr>
      </w14:shadow>
    </w:rPr>
  </w:style>
  <w:style w:type="character" w:customStyle="1" w:styleId="a4">
    <w:name w:val="כותרת עליונה תו"/>
    <w:basedOn w:val="a0"/>
    <w:link w:val="a3"/>
    <w:rsid w:val="00FB4A98"/>
    <w:rPr>
      <w:rFonts w:cs="David"/>
      <w:noProof/>
      <w:sz w:val="24"/>
      <w:szCs w:val="24"/>
    </w:rPr>
  </w:style>
  <w:style w:type="character" w:customStyle="1" w:styleId="a6">
    <w:name w:val="כותרת תחתונה תו"/>
    <w:basedOn w:val="a0"/>
    <w:link w:val="a5"/>
    <w:rsid w:val="00FB4A98"/>
    <w:rPr>
      <w:rFonts w:cs="David"/>
      <w:noProof/>
      <w:sz w:val="24"/>
      <w:szCs w:val="24"/>
    </w:rPr>
  </w:style>
  <w:style w:type="character" w:customStyle="1" w:styleId="a9">
    <w:name w:val="טקסט הערה תו"/>
    <w:basedOn w:val="a0"/>
    <w:link w:val="a8"/>
    <w:semiHidden/>
    <w:rsid w:val="00FB4A98"/>
    <w:rPr>
      <w:sz w:val="24"/>
      <w:szCs w:val="24"/>
    </w:rPr>
  </w:style>
  <w:style w:type="character" w:customStyle="1" w:styleId="ac">
    <w:name w:val="טקסט בלונים תו"/>
    <w:basedOn w:val="a0"/>
    <w:link w:val="ab"/>
    <w:semiHidden/>
    <w:rsid w:val="00FB4A98"/>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288415">
      <w:bodyDiv w:val="1"/>
      <w:marLeft w:val="0"/>
      <w:marRight w:val="0"/>
      <w:marTop w:val="0"/>
      <w:marBottom w:val="0"/>
      <w:divBdr>
        <w:top w:val="none" w:sz="0" w:space="0" w:color="auto"/>
        <w:left w:val="none" w:sz="0" w:space="0" w:color="auto"/>
        <w:bottom w:val="none" w:sz="0" w:space="0" w:color="auto"/>
        <w:right w:val="none" w:sz="0" w:space="0" w:color="auto"/>
      </w:divBdr>
    </w:div>
    <w:div w:id="39501283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428956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3045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976C288D3A4227B3E2CB2EEEB168CC"/>
        <w:category>
          <w:name w:val="כללי"/>
          <w:gallery w:val="placeholder"/>
        </w:category>
        <w:types>
          <w:type w:val="bbPlcHdr"/>
        </w:types>
        <w:behaviors>
          <w:behavior w:val="content"/>
        </w:behaviors>
        <w:guid w:val="{C7CFA785-FF98-4270-904F-C4EB369A65BE}"/>
      </w:docPartPr>
      <w:docPartBody>
        <w:p w:rsidR="00DD4F64" w:rsidRDefault="00CE0534" w:rsidP="00CE0534">
          <w:pPr>
            <w:pStyle w:val="8D976C288D3A4227B3E2CB2EEEB168CC"/>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3A526A"/>
    <w:rsid w:val="00CC5512"/>
    <w:rsid w:val="00CE0534"/>
    <w:rsid w:val="00DD4F6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E0534"/>
    <w:rPr>
      <w:color w:val="808080"/>
    </w:rPr>
  </w:style>
  <w:style w:type="paragraph" w:customStyle="1" w:styleId="8D976C288D3A4227B3E2CB2EEEB168CC">
    <w:name w:val="8D976C288D3A4227B3E2CB2EEEB168CC"/>
    <w:rsid w:val="00CE053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רונן שחר</FullName>
        <FirstName>רונן</FirstName>
        <LastName>שחר</LastName>
        <PartyPropertyName/>
        <AuthenticationTypeAndNumber>מ.ר. 26724</AuthenticationTypeAndNumber>
        <RepresentatedOrRepresentativesNames>אוטו המלי, יהודית המלי</RepresentatedOrRepresentativesNames>
        <RepresentatedOrRepresentativesCount>2</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256484803</CasePartyID>
        <PartyTypeID>2</PartyTypeID>
        <ActivityStatusID>1</ActivityStatusID>
        <PartyAliasID>20</PartyAliasID>
        <PartyAliasName>בא כוח תובעים</PartyAliasName>
        <LegalEntityID>389227</LegalEntityID>
        <CaseLegalEntityID>109360505</CaseLegalEntityID>
        <AuthenticationTypeID>4</AuthenticationTypeID>
        <AuthenticationTypeName>מ.ר.</AuthenticationTypeName>
        <LegalEntityNumber>26724</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דוד בלוך 13 תל אביב -יפו </FullAddress>
        <MotionID>0</MotionID>
        <CasePleaID>0</CasePleaID>
        <LinkedCaseID>0</LinkedCaseID>
        <PartyID>1</PartyID>
        <CasePartyCategoryID>2</CasePartyCategoryID>
        <LegalEntityAddressID>88067807</LegalEntityAddressID>
        <PleaTypeID>4</PleaTypeID>
        <LawyerOfficeName>משרד עו"ד : רונן שחר</LawyerOfficeName>
        <LawyerOfficeID>80942924</LawyerOfficeID>
        <GroupPartyAlias/>
        <IsConverted>false</IsConverted>
        <LegalEntityNameID>10211</LegalEntityNameID>
        <RepresentatedNamesOfAssistant/>
        <LegalEntityTypeID>4</LegalEntityTypeID>
        <IsVerdictExists>false</IsVerdictExists>
        <IsAsirAzir>false</IsAsirAzir>
        <IsPublicationProhibited>false</IsPublicationProhibited>
        <PublicationProhibitedFullName>רונן שחר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יהודית המלי</FullName>
        <FirstName>יהודית</FirstName>
        <LastName>המלי</LastName>
        <PartyPropertyName/>
        <AuthenticationTypeAndNumber>ת"ז 067379354</AuthenticationTypeAndNumber>
        <RepresentatedOrRepresentativesNames>רונן שחר</RepresentatedOrRepresentativesNames>
        <RepresentatedOrRepresentativesCount>1</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206276379</CasePartyID>
        <PartyTypeID>1</PartyTypeID>
        <ActivityStatusID>1</ActivityStatusID>
        <PartyAliasID>1</PartyAliasID>
        <PartyAliasName>תובע</PartyAliasName>
        <OrdinalNumber>1</OrdinalNumber>
        <LegalEntityID>78661943</LegalEntityID>
        <CaseLegalEntityID>109360503</CaseLegalEntityID>
        <AuthenticationTypeID>1</AuthenticationTypeID>
        <AuthenticationTypeName>ת"ז</AuthenticationTypeName>
        <LegalEntityNumber>067379354</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
        <MotionID>0</MotionID>
        <CasePleaID>0</CasePleaID>
        <FatherName>דוד</FatherName>
        <LinkedCaseID>0</LinkedCaseID>
        <PartyID>1</PartyID>
        <CasePartyCategoryID>2</CasePartyCategoryID>
        <PleaTypeID>4</PleaTypeID>
        <GroupPartyAlias>תובעים</GroupPartyAlias>
        <IsConverted>false</IsConverted>
        <LegalEntityRegisteredNameID>8961492</LegalEntityRegisteredNameID>
        <LegalEntityNameID>88947747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יהודית המלי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הבנק הבינלאומי הראשון לישראל בעמ</FullName>
        <LastName>הבנק הבינלאומי הראשון לישראל בעמ</LastName>
        <PartyPropertyName/>
        <AuthenticationTypeAndNumber>חברות 520029083</AuthenticationTypeAndNumber>
        <RepresentatedOrRepresentativesNames>עפרה אקרמן שוורץ</RepresentatedOrRepresentativesNames>
        <RepresentatedOrRepresentativesCount>1</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206276382</CasePartyID>
        <PartyTypeID>1</PartyTypeID>
        <ActivityStatusID>1</ActivityStatusID>
        <PartyAliasID>2</PartyAliasID>
        <PartyAliasName>נתבע</PartyAliasName>
        <OrdinalNumber>1</OrdinalNumber>
        <LegalEntityID>361691</LegalEntityID>
        <CaseLegalEntityID>109360506</CaseLegalEntityID>
        <AuthenticationTypeID>3</AuthenticationTypeID>
        <AuthenticationTypeName>חברות</AuthenticationTypeName>
        <LegalEntityNumber>520029083</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רוטשילד 42 תל אביב -יפו </FullAddress>
        <MotionID>0</MotionID>
        <CasePleaID>0</CasePleaID>
        <LinkedCaseID>0</LinkedCaseID>
        <PartyID>2</PartyID>
        <CasePartyCategoryID>2</CasePartyCategoryID>
        <LegalEntityAddressID>72136861</LegalEntityAddressID>
        <PleaTypeID>4</PleaTypeID>
        <GroupPartyAlias>נתבעים</GroupPartyAlias>
        <IsConverted>false</IsConverted>
        <LegalEntityRegisteredNameID>325064</LegalEntityRegisteredNameID>
        <RepresentatedNamesOfAssistant/>
        <LegalEntityTypeID>3</LegalEntityTypeID>
        <IsVerdictExists>false</IsVerdictExists>
        <IsAsirAzir>false</IsAsirAzir>
        <IsPublicationProhibited>false</IsPublicationProhibited>
        <PublicationProhibitedFullName>הבנק הבינלאומי הראשון לישראל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אוטו המלי</FullName>
        <FirstName>אוטו</FirstName>
        <LastName>המלי</LastName>
        <PartyPropertyName/>
        <AuthenticationTypeAndNumber>ת"ז 342534823</AuthenticationTypeAndNumber>
        <RepresentatedOrRepresentativesNames>רונן שחר</RepresentatedOrRepresentativesNames>
        <RepresentatedOrRepresentativesCount>1</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206276380</CasePartyID>
        <PartyTypeID>1</PartyTypeID>
        <ActivityStatusID>1</ActivityStatusID>
        <PartyAliasID>1</PartyAliasID>
        <PartyAliasName>תובע</PartyAliasName>
        <OrdinalNumber>2</OrdinalNumber>
        <LegalEntityID>78661944</LegalEntityID>
        <CaseLegalEntityID>109360504</CaseLegalEntityID>
        <AuthenticationTypeID>1</AuthenticationTypeID>
        <AuthenticationTypeName>ת"ז</AuthenticationTypeName>
        <LegalEntityNumber>342534823</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
        <MotionID>0</MotionID>
        <CasePleaID>0</CasePleaID>
        <FatherName>דב</FatherName>
        <LinkedCaseID>0</LinkedCaseID>
        <PartyID>1</PartyID>
        <CasePartyCategoryID>2</CasePartyCategoryID>
        <PleaTypeID>4</PleaTypeID>
        <GroupPartyAlias>תובעים</GroupPartyAlias>
        <IsConverted>false</IsConverted>
        <LegalEntityRegisteredNameID>8961493</LegalEntityRegisteredNameID>
        <LegalEntityNameID>92835349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אוטו המלי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עפרה אקרמן שוורץ</FullName>
        <FirstName>עפרה</FirstName>
        <LastName>אקרמן שוורץ</LastName>
        <PartyPropertyName/>
        <AuthenticationTypeAndNumber>מ.ר. 13137</AuthenticationTypeAndNumber>
        <RepresentatedOrRepresentativesNames xml:space="preserve"> </RepresentatedOrRepresentativesNames>
        <RepresentatedOrRepresentativesCount>1</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207261943</CasePartyID>
        <PartyTypeID>2</PartyTypeID>
        <ActivityStatusID>1</ActivityStatusID>
        <PartyAliasID>21</PartyAliasID>
        <PartyAliasName>בא כוח נתבעים</PartyAliasName>
        <OrdinalNumber>2</OrdinalNumber>
        <LegalEntityID>384968</LegalEntityID>
        <CaseLegalEntityID>109639169</CaseLegalEntityID>
        <AuthenticationTypeID>4</AuthenticationTypeID>
        <AuthenticationTypeName>מ.ר.</AuthenticationTypeName>
        <LegalEntityNumber>13137</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רח' הארבעה 28 (מגדל צפוני - קומה 5) תל אביב -יפו </FullAddress>
        <MotionID>0</MotionID>
        <CasePleaID>0</CasePleaID>
        <FatherName xml:space="preserve">        </FatherName>
        <LinkedCaseID>0</LinkedCaseID>
        <PartyID>2</PartyID>
        <CasePartyCategoryID>2</CasePartyCategoryID>
        <LegalEntityAddressID>87405031</LegalEntityAddressID>
        <PleaTypeID>4</PleaTypeID>
        <LawyerOfficeName>משרד עו"ד: י.לוינסון ושות'</LawyerOfficeName>
        <LawyerOfficeID>3477024</LawyerOfficeID>
        <GroupPartyAlias/>
        <IsConverted>false</IsConverted>
        <LegalEntityNameID>5952</LegalEntityNameID>
        <RepresentatedNamesOfAssistant/>
        <LegalEntityTypeID>4</LegalEntityTypeID>
        <IsVerdictExists>false</IsVerdictExists>
        <IsAsirAzir>false</IsAsirAzir>
        <IsPublicationProhibited>false</IsPublicationProhibited>
        <PublicationProhibitedFullName>עפרה אקרמן שוורץ</PublicationProhibitedFullName>
      </CaseParties>
    </CasePartiesSelectionDS>
    <DecisionName>פסק דין  שניתנה ע"י  יונה אטדגי</DecisionName>
    <CourtDisplayName>בית המשפט המחוזי בתל אביב -יפו</CourtDisplayName>
    <IsCaseJudgePanel>false</IsCaseJudgePanel>
    <DecisionSignatureDate>2024-06-20T09:29:04.6393646+03:00</DecisionSignatureDate>
    <OpenCaseDate>2019-12-30T10:21:00+02:00</OpenCaseDate>
    <CaseFeeSum>5250000.000</CaseFeeSum>
    <DecisionTypeID>2</DecisionTypeID>
    <DecisionSignatureUserName>יונה אטדגי</DecisionSignatureUserName>
    <DecisionSignatureDateHebrew>2024-06-20T09:29:04.6393646+03:00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המלי ואח' נ' הבנק הבינלאומי הראשון לישראל בעמ</CaseName>
    <DecisionNumberInCase>4</DecisionNumberInCase>
  </dt_Decision>
  <dt_DecisionCase>
    <DecisionID>0</DecisionID>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רונן שחר</FullName>
        <FirstName>רונן</FirstName>
        <LastName>שחר</LastName>
        <PartyPropertyName/>
        <AuthenticationTypeAndNumber>מ.ר. 26724</AuthenticationTypeAndNumber>
        <RepresentatedOrRepresentativesNames>אוטו המלי, יהודית המלי</RepresentatedOrRepresentativesNames>
        <RepresentatedOrRepresentativesCount>2</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256484803</CasePartyID>
        <PartyTypeID>2</PartyTypeID>
        <ActivityStatusID>1</ActivityStatusID>
        <PartyAliasID>20</PartyAliasID>
        <PartyAliasName>בא כוח תובעים</PartyAliasName>
        <LegalEntityID>389227</LegalEntityID>
        <CaseLegalEntityID>109360505</CaseLegalEntityID>
        <AuthenticationTypeID>4</AuthenticationTypeID>
        <AuthenticationTypeName>מ.ר.</AuthenticationTypeName>
        <LegalEntityNumber>26724</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דוד בלוך 13 תל אביב -יפו </FullAddress>
        <MotionID>0</MotionID>
        <CasePleaID>0</CasePleaID>
        <LinkedCaseID>0</LinkedCaseID>
        <PartyID>1</PartyID>
        <CasePartyCategoryID>2</CasePartyCategoryID>
        <LegalEntityAddressID>88067807</LegalEntityAddressID>
        <PleaTypeID>4</PleaTypeID>
        <LawyerOfficeName>משרד עו"ד : רונן שחר</LawyerOfficeName>
        <LawyerOfficeID>80942924</LawyerOfficeID>
        <GroupPartyAlias/>
        <IsConverted>false</IsConverted>
        <LegalEntityNameID>10211</LegalEntityNameID>
        <RepresentatedNamesOfAssistant/>
        <LegalEntityTypeID>4</LegalEntityTypeID>
        <IsVerdictExists>false</IsVerdictExists>
        <IsAsirAzir>false</IsAsirAzir>
        <IsPublicationProhibited>false</IsPublicationProhibited>
        <PublicationProhibitedFullName>רונן שחר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יהודית המלי</FullName>
        <FirstName>יהודית</FirstName>
        <LastName>המלי</LastName>
        <PartyPropertyName/>
        <AuthenticationTypeAndNumber>ת"ז 067379354</AuthenticationTypeAndNumber>
        <RepresentatedOrRepresentativesNames>רונן שחר</RepresentatedOrRepresentativesNames>
        <RepresentatedOrRepresentativesCount>1</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206276379</CasePartyID>
        <PartyTypeID>1</PartyTypeID>
        <ActivityStatusID>1</ActivityStatusID>
        <PartyAliasID>1</PartyAliasID>
        <PartyAliasName>תובע</PartyAliasName>
        <OrdinalNumber>1</OrdinalNumber>
        <LegalEntityID>78661943</LegalEntityID>
        <CaseLegalEntityID>109360503</CaseLegalEntityID>
        <AuthenticationTypeID>1</AuthenticationTypeID>
        <AuthenticationTypeName>ת"ז</AuthenticationTypeName>
        <LegalEntityNumber>067379354</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
        <MotionID>0</MotionID>
        <CasePleaID>0</CasePleaID>
        <FatherName>דוד</FatherName>
        <LinkedCaseID>0</LinkedCaseID>
        <PartyID>1</PartyID>
        <CasePartyCategoryID>2</CasePartyCategoryID>
        <PleaTypeID>4</PleaTypeID>
        <GroupPartyAlias>תובעים</GroupPartyAlias>
        <IsConverted>false</IsConverted>
        <LegalEntityRegisteredNameID>8961492</LegalEntityRegisteredNameID>
        <LegalEntityNameID>88947747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יהודית המלי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הבנק הבינלאומי הראשון לישראל בעמ</FullName>
        <LastName>הבנק הבינלאומי הראשון לישראל בעמ</LastName>
        <PartyPropertyName/>
        <AuthenticationTypeAndNumber>חברות 520029083</AuthenticationTypeAndNumber>
        <RepresentatedOrRepresentativesNames>עפרה אקרמן שוורץ</RepresentatedOrRepresentativesNames>
        <RepresentatedOrRepresentativesCount>1</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206276382</CasePartyID>
        <PartyTypeID>1</PartyTypeID>
        <ActivityStatusID>1</ActivityStatusID>
        <PartyAliasID>2</PartyAliasID>
        <PartyAliasName>נתבע</PartyAliasName>
        <OrdinalNumber>1</OrdinalNumber>
        <LegalEntityID>361691</LegalEntityID>
        <CaseLegalEntityID>109360506</CaseLegalEntityID>
        <AuthenticationTypeID>3</AuthenticationTypeID>
        <AuthenticationTypeName>חברות</AuthenticationTypeName>
        <LegalEntityNumber>520029083</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רוטשילד 42 תל אביב -יפו </FullAddress>
        <MotionID>0</MotionID>
        <CasePleaID>0</CasePleaID>
        <LinkedCaseID>0</LinkedCaseID>
        <PartyID>2</PartyID>
        <CasePartyCategoryID>2</CasePartyCategoryID>
        <LegalEntityAddressID>72136861</LegalEntityAddressID>
        <PleaTypeID>4</PleaTypeID>
        <GroupPartyAlias>נתבעים</GroupPartyAlias>
        <IsConverted>false</IsConverted>
        <LegalEntityRegisteredNameID>325064</LegalEntityRegisteredNameID>
        <RepresentatedNamesOfAssistant/>
        <LegalEntityTypeID>3</LegalEntityTypeID>
        <IsVerdictExists>false</IsVerdictExists>
        <IsAsirAzir>false</IsAsirAzir>
        <IsPublicationProhibited>false</IsPublicationProhibited>
        <PublicationProhibitedFullName>הבנק הבינלאומי הראשון לישראל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אוטו המלי</FullName>
        <FirstName>אוטו</FirstName>
        <LastName>המלי</LastName>
        <PartyPropertyName/>
        <AuthenticationTypeAndNumber>ת"ז 342534823</AuthenticationTypeAndNumber>
        <RepresentatedOrRepresentativesNames>רונן שחר</RepresentatedOrRepresentativesNames>
        <RepresentatedOrRepresentativesCount>1</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206276380</CasePartyID>
        <PartyTypeID>1</PartyTypeID>
        <ActivityStatusID>1</ActivityStatusID>
        <PartyAliasID>1</PartyAliasID>
        <PartyAliasName>תובע</PartyAliasName>
        <OrdinalNumber>2</OrdinalNumber>
        <LegalEntityID>78661944</LegalEntityID>
        <CaseLegalEntityID>109360504</CaseLegalEntityID>
        <AuthenticationTypeID>1</AuthenticationTypeID>
        <AuthenticationTypeName>ת"ז</AuthenticationTypeName>
        <LegalEntityNumber>342534823</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
        <MotionID>0</MotionID>
        <CasePleaID>0</CasePleaID>
        <FatherName>דב</FatherName>
        <LinkedCaseID>0</LinkedCaseID>
        <PartyID>1</PartyID>
        <CasePartyCategoryID>2</CasePartyCategoryID>
        <PleaTypeID>4</PleaTypeID>
        <GroupPartyAlias>תובעים</GroupPartyAlias>
        <IsConverted>false</IsConverted>
        <LegalEntityRegisteredNameID>8961493</LegalEntityRegisteredNameID>
        <LegalEntityNameID>92835349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אוטו המלי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עפרה אקרמן שוורץ</FullName>
        <FirstName>עפרה</FirstName>
        <LastName>אקרמן שוורץ</LastName>
        <PartyPropertyName/>
        <AuthenticationTypeAndNumber>מ.ר. 13137</AuthenticationTypeAndNumber>
        <RepresentatedOrRepresentativesNames xml:space="preserve"> </RepresentatedOrRepresentativesNames>
        <RepresentatedOrRepresentativesCount>1</RepresentatedOrRepresentativesCount>
        <InvitedBy/>
        <CaseID>77052094</CaseID>
        <CaseJudicialPersonPresentationDS>
          <CaseJudicalPersonActive>
            <CaseID>77052094</CaseID>
            <JudicialPersonID>012356945@GOV.IL</JudicialPersonID>
            <JudicialPersonTypeID>1</JudicialPersonTypeID>
            <JudicialTypeID>1</JudicialTypeID>
            <IsChairman>false</IsChairman>
            <TreatmentStartDate>2020-03-31T12:41:43.277+03:00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207261943</CasePartyID>
        <PartyTypeID>2</PartyTypeID>
        <ActivityStatusID>1</ActivityStatusID>
        <PartyAliasID>21</PartyAliasID>
        <PartyAliasName>בא כוח נתבעים</PartyAliasName>
        <OrdinalNumber>2</OrdinalNumber>
        <LegalEntityID>384968</LegalEntityID>
        <CaseLegalEntityID>109639169</CaseLegalEntityID>
        <AuthenticationTypeID>4</AuthenticationTypeID>
        <AuthenticationTypeName>מ.ר.</AuthenticationTypeName>
        <LegalEntityNumber>13137</LegalEntityNumber>
        <IsMainPartyType>true</IsMainPartyType>
        <CaseDisplayIdentifier>71057-12-19</CaseDisplayIdentifier>
        <CaseTypeID>1</CaseTypeID>
        <CaseTypeName>תיק אזרחי בסדר דין רגיל (ת"א)</CaseTypeName>
        <CaseName>המלי ואח' נ' הבנק הבינלאומי הראשון לישראל בעמ</CaseName>
        <FullAddress>רח' הארבעה 28 (מגדל צפוני - קומה 5) תל אביב -יפו </FullAddress>
        <MotionID>0</MotionID>
        <CasePleaID>0</CasePleaID>
        <FatherName xml:space="preserve">        </FatherName>
        <LinkedCaseID>0</LinkedCaseID>
        <PartyID>2</PartyID>
        <CasePartyCategoryID>2</CasePartyCategoryID>
        <LegalEntityAddressID>87405031</LegalEntityAddressID>
        <PleaTypeID>4</PleaTypeID>
        <LawyerOfficeName>משרד עו"ד: י.לוינסון ושות'</LawyerOfficeName>
        <LawyerOfficeID>3477024</LawyerOfficeID>
        <GroupPartyAlias/>
        <IsConverted>false</IsConverted>
        <LegalEntityNameID>5952</LegalEntityNameID>
        <RepresentatedNamesOfAssistant/>
        <LegalEntityTypeID>4</LegalEntityTypeID>
        <IsVerdictExists>false</IsVerdictExists>
        <IsAsirAzir>false</IsAsirAzir>
        <IsPublicationProhibited>false</IsPublicationProhibited>
        <PublicationProhibitedFullName>עפרה אקרמן שוורץ</PublicationProhibitedFullName>
      </CaseParties>
    </CasePartiesSelectionDS>
    <CaseName>המלי ואח' נ' הבנק הבינלאומי הראשון לישראל בעמ</CaseName>
    <CaseDisplayIdentifier>71057-12-19</CaseDisplayIdentifier>
    <CaseInterestID>41</CaseInterestID>
    <CaseTypeShortName>ת"א</CaseTypeShortName>
  </dt_DecisionCase>
  <dt_DecisionJudgePanel>
    <JudgeID>012356945@GOV.IL</JudgeID>
    <DisplayName>יונה אטדגי</DisplayName>
    <RoleName>שופט</RoleName>
    <UserTitleName>שופט</UserTitleName>
  </dt_DecisionJudgePanel>
  <dt_LegalEntityDetails>
    <Fax>03-5600121</Fax>
    <Phone>03-5668222</Phone>
    <PartyID>1</PartyID>
    <PartyTypeID>2</PartyTypeID>
    <DecisionID>0</DecisionID>
    <StreetName>דוד בלוך 13</StreetName>
    <ZipCode>6416119</ZipCode>
    <CityName>תל אביב -יפו</CityName>
    <FullName>רונן שחר</FullName>
    <IsPublicationProhibited>false</IsPublicationProhibited>
  </dt_LegalEntityDetails>
  <dt_LegalEntityDetails>
    <PartyID>1</PartyID>
    <PartyTypeID>1</PartyTypeID>
    <DecisionID>0</DecisionID>
    <IsPublicationProhibited>false</IsPublicationProhibited>
  </dt_LegalEntityDetails>
  <dt_LegalEntityDetails>
    <Fax>08-5134186</Fax>
    <Phone>03-5671671</Phone>
    <PartyID>2</PartyID>
    <PartyTypeID>1</PartyTypeID>
    <DecisionID>0</DecisionID>
    <StreetName>רוטשילד 42</StreetName>
    <ZipCode>66883</ZipCode>
    <CityName>תל אביב -יפו</CityName>
    <FullName> הבנק הבינלאומי הראשון לישראל בעמ</FullName>
    <IsPublicationProhibited>false</IsPublicationProhibited>
  </dt_LegalEntityDetails>
  <dt_LegalEntityDetails>
    <PartyID>1</PartyID>
    <PartyTypeID>1</PartyTypeID>
    <DecisionID>0</DecisionID>
    <IsPublicationProhibited>false</IsPublicationProhibited>
  </dt_LegalEntityDetails>
  <dt_LegalEntityDetails>
    <Fax>03-6020068</Fax>
    <Phone>03-6020070</Phone>
    <AddressDesc/>
    <PartyID>2</PartyID>
    <PartyTypeID>2</PartyTypeID>
    <DecisionID>0</DecisionID>
    <StreetName>רח' הארבעה 28 (מגדל צפוני - קומה 5)</StreetName>
    <ZipCode>6473925</ZipCode>
    <CityName>תל אביב -יפו</CityName>
    <FullName>עפרה אקרמן שוורץ</FullName>
    <IsPublicationProhibited>false</IsPublicationProhibited>
  </dt_LegalEntityDetails>
  <dt_CaseJudicalPersonActive>
    <CaseJudicalPerson>שופט יונה אטדגי</CaseJudicalPerson>
  </dt_CaseJudicalPersonActive>
  <dt_Sitting>
    <PreviousMeetingDate>2023-05-04T06:00:00+03:00</PreviousMeetingDate>
    <PreviousSittingTypeID>3</PreviousSittingTypeID>
    <PreviousMeetingDisplayName>שופט יונה אטדגי</PreviousMeetingDisplayName>
    <PreviousMeetingRoleName>שופט</PreviousMeetingRoleName>
    <PreviousMeetingUserTitleName>שופט</PreviousMeetingUserTitleName>
    <PreviousMeetingUserUPN>012356945@GOV.IL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871C0-BD83-4D22-BC18-EC6EE9CE86E6}">
  <ds:schemaRefs/>
</ds:datastoreItem>
</file>

<file path=customXml/itemProps2.xml><?xml version="1.0" encoding="utf-8"?>
<ds:datastoreItem xmlns:ds="http://schemas.openxmlformats.org/officeDocument/2006/customXml" ds:itemID="{B74F86D1-A61A-4304-AFB2-01E6B1DFC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10637</Words>
  <Characters>53186</Characters>
  <Application>Microsoft Office Word</Application>
  <DocSecurity>0</DocSecurity>
  <Lines>443</Lines>
  <Paragraphs>127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2024-07-04T06:41:00Z</dcterms:created>
  <dcterms:modified xsi:type="dcterms:W3CDTF">2024-07-04T06:41:00Z</dcterms:modified>
</cp:coreProperties>
</file>